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14" w:rsidRDefault="00E12714" w:rsidP="00E12714">
      <w:pPr>
        <w:spacing w:before="60" w:after="60"/>
        <w:ind w:firstLine="720"/>
        <w:jc w:val="center"/>
        <w:rPr>
          <w:b/>
          <w:iCs/>
          <w:szCs w:val="28"/>
          <w:lang w:val="nl-NL"/>
        </w:rPr>
      </w:pPr>
      <w:r w:rsidRPr="00AA398C">
        <w:rPr>
          <w:b/>
          <w:iCs/>
          <w:szCs w:val="28"/>
          <w:lang w:val="nl-NL"/>
        </w:rPr>
        <w:t>THÔNG TIN KÊU GỌI NHÀ ĐẦU TƯ THỰC HIỆN DỰ ÁN</w:t>
      </w:r>
    </w:p>
    <w:p w:rsidR="00E12714" w:rsidRPr="00AA398C" w:rsidRDefault="00E12714" w:rsidP="00E12714">
      <w:pPr>
        <w:spacing w:before="60" w:after="60"/>
        <w:ind w:firstLine="720"/>
        <w:jc w:val="center"/>
        <w:rPr>
          <w:b/>
          <w:bCs/>
          <w:szCs w:val="28"/>
          <w:lang w:val="nl-NL"/>
        </w:rPr>
      </w:pPr>
      <w:r w:rsidRPr="00AA398C">
        <w:rPr>
          <w:b/>
          <w:iCs/>
          <w:szCs w:val="28"/>
          <w:lang w:val="nl-NL"/>
        </w:rPr>
        <w:t xml:space="preserve"> NHÀ Ở XÃ HỘI TẠI KHU VỰC PHƯỜNG NAM NGẠN, THÀNH PHỐ THANH HÓA, TỈNH THANH HÓA.</w:t>
      </w:r>
    </w:p>
    <w:p w:rsidR="00E12714" w:rsidRPr="00CE67CA" w:rsidRDefault="00E12714" w:rsidP="00E12714">
      <w:pPr>
        <w:shd w:val="clear" w:color="auto" w:fill="FFFFFF"/>
        <w:spacing w:before="240" w:after="60"/>
        <w:ind w:firstLine="709"/>
        <w:jc w:val="both"/>
        <w:rPr>
          <w:b/>
          <w:color w:val="000000"/>
          <w:szCs w:val="28"/>
          <w:lang w:val="nl-NL"/>
        </w:rPr>
      </w:pPr>
      <w:r w:rsidRPr="00CE67CA">
        <w:rPr>
          <w:b/>
          <w:color w:val="000000"/>
          <w:szCs w:val="28"/>
          <w:lang w:val="nl-NL"/>
        </w:rPr>
        <w:t xml:space="preserve">II. </w:t>
      </w:r>
      <w:r>
        <w:rPr>
          <w:b/>
          <w:color w:val="000000"/>
          <w:szCs w:val="28"/>
          <w:lang w:val="nl-NL"/>
        </w:rPr>
        <w:t>Mô tả dự án</w:t>
      </w:r>
      <w:r w:rsidRPr="00CE67CA">
        <w:rPr>
          <w:b/>
          <w:color w:val="000000"/>
          <w:szCs w:val="28"/>
          <w:lang w:val="nl-NL"/>
        </w:rPr>
        <w:t>:</w:t>
      </w:r>
    </w:p>
    <w:p w:rsidR="00E12714" w:rsidRDefault="00E12714" w:rsidP="00E12714">
      <w:pPr>
        <w:shd w:val="clear" w:color="auto" w:fill="FFFFFF"/>
        <w:spacing w:before="60" w:after="60"/>
        <w:ind w:firstLine="709"/>
        <w:jc w:val="both"/>
        <w:rPr>
          <w:color w:val="000000"/>
          <w:szCs w:val="28"/>
          <w:lang w:val="nl-NL"/>
        </w:rPr>
      </w:pPr>
      <w:r w:rsidRPr="00E372E1">
        <w:rPr>
          <w:color w:val="000000"/>
          <w:szCs w:val="28"/>
          <w:lang w:val="nl-NL"/>
        </w:rPr>
        <w:t>1.</w:t>
      </w:r>
      <w:r w:rsidRPr="00117ED6">
        <w:rPr>
          <w:color w:val="000000"/>
          <w:szCs w:val="28"/>
          <w:lang w:val="nl-NL"/>
        </w:rPr>
        <w:t>Tên dự án:</w:t>
      </w:r>
    </w:p>
    <w:p w:rsidR="00E12714" w:rsidRDefault="00E12714" w:rsidP="00E12714">
      <w:pPr>
        <w:shd w:val="clear" w:color="auto" w:fill="FFFFFF"/>
        <w:spacing w:before="60" w:after="60"/>
        <w:ind w:firstLine="709"/>
        <w:jc w:val="both"/>
        <w:rPr>
          <w:iCs/>
          <w:szCs w:val="28"/>
          <w:lang w:val="nl-NL"/>
        </w:rPr>
      </w:pPr>
      <w:r w:rsidRPr="00117ED6">
        <w:rPr>
          <w:iCs/>
          <w:szCs w:val="28"/>
          <w:lang w:val="nl-NL"/>
        </w:rPr>
        <w:t xml:space="preserve">Nhà ở xã hội </w:t>
      </w:r>
      <w:r>
        <w:rPr>
          <w:iCs/>
          <w:szCs w:val="28"/>
          <w:lang w:val="nl-NL"/>
        </w:rPr>
        <w:t xml:space="preserve">phường Nam Ngạn, thành phố Thanh Hóa thuộc </w:t>
      </w:r>
      <w:r w:rsidRPr="00285DB9">
        <w:rPr>
          <w:iCs/>
          <w:szCs w:val="28"/>
          <w:lang w:val="nl-NL"/>
        </w:rPr>
        <w:t>Khu ở và dịch vụ thuộc khu đô thị Bắc cầu Hạc, phường Nam Ngạn, thành phố Thanh Hóa</w:t>
      </w:r>
      <w:r>
        <w:rPr>
          <w:iCs/>
          <w:szCs w:val="28"/>
          <w:lang w:val="nl-NL"/>
        </w:rPr>
        <w:t>.</w:t>
      </w:r>
    </w:p>
    <w:p w:rsidR="00E12714" w:rsidRDefault="00E12714" w:rsidP="00E12714">
      <w:pPr>
        <w:shd w:val="clear" w:color="auto" w:fill="FFFFFF"/>
        <w:spacing w:before="60" w:after="60"/>
        <w:ind w:firstLine="709"/>
        <w:jc w:val="both"/>
        <w:rPr>
          <w:iCs/>
          <w:szCs w:val="28"/>
          <w:lang w:val="nl-NL"/>
        </w:rPr>
      </w:pPr>
      <w:r>
        <w:rPr>
          <w:iCs/>
          <w:szCs w:val="28"/>
          <w:lang w:val="nl-NL"/>
        </w:rPr>
        <w:t>2. Mục tiêu đầu tư:</w:t>
      </w:r>
    </w:p>
    <w:p w:rsidR="00E12714" w:rsidRPr="00F60DD3" w:rsidRDefault="00E12714" w:rsidP="00E12714">
      <w:pPr>
        <w:shd w:val="clear" w:color="auto" w:fill="FFFFFF"/>
        <w:spacing w:before="60" w:after="60"/>
        <w:ind w:firstLine="709"/>
        <w:jc w:val="both"/>
        <w:rPr>
          <w:color w:val="000000"/>
          <w:szCs w:val="28"/>
          <w:lang w:val="nl-NL"/>
        </w:rPr>
      </w:pPr>
      <w:r w:rsidRPr="00F60DD3">
        <w:rPr>
          <w:iCs/>
          <w:color w:val="000000"/>
          <w:szCs w:val="28"/>
          <w:lang w:val="es-ES_tradnl"/>
        </w:rPr>
        <w:t xml:space="preserve">Đầu tư hoàn chỉnh, đồng bộ các công trình, đảm bảo tuân thủ theo quy hoạch chi tiết được cấp thẩm quyền phê duyệt, gồm: Hạ tầng kỹ thuật trong hàng rào dự án </w:t>
      </w:r>
      <w:r w:rsidRPr="00F60DD3">
        <w:rPr>
          <w:i/>
          <w:iCs/>
          <w:color w:val="000000"/>
          <w:szCs w:val="28"/>
          <w:lang w:val="es-ES_tradnl"/>
        </w:rPr>
        <w:t>(bao gồm các công trình: Hệ thống thoát nước; Hệ thống cấp nước; Hệ thống cấp điện, điện chiếu sáng; San nền; Giao thông; Bãi đỗ xe; Cây xanh…)</w:t>
      </w:r>
      <w:r w:rsidRPr="00F60DD3">
        <w:rPr>
          <w:color w:val="000000"/>
          <w:szCs w:val="28"/>
          <w:lang w:val="nl-NL"/>
        </w:rPr>
        <w:t xml:space="preserve">; Xây dựng các khối nhà chung cư cao 25 tầng và các công trình phụ trợ </w:t>
      </w:r>
      <w:r w:rsidRPr="00F60DD3">
        <w:rPr>
          <w:i/>
          <w:color w:val="000000"/>
          <w:szCs w:val="28"/>
          <w:lang w:val="nl-NL"/>
        </w:rPr>
        <w:t>(bể bơi, sân thể thao...)</w:t>
      </w:r>
      <w:r w:rsidRPr="00F60DD3">
        <w:rPr>
          <w:color w:val="000000"/>
          <w:szCs w:val="28"/>
          <w:lang w:val="nl-NL"/>
        </w:rPr>
        <w:t xml:space="preserve"> theo quy hoạch chi tiết được phê duyệt.</w:t>
      </w:r>
    </w:p>
    <w:p w:rsidR="00E12714" w:rsidRDefault="00E12714" w:rsidP="00E12714">
      <w:pPr>
        <w:shd w:val="clear" w:color="auto" w:fill="FFFFFF"/>
        <w:spacing w:before="60" w:after="60"/>
        <w:ind w:firstLine="709"/>
        <w:jc w:val="both"/>
        <w:rPr>
          <w:color w:val="000000"/>
          <w:szCs w:val="28"/>
          <w:lang w:val="nl-NL"/>
        </w:rPr>
      </w:pPr>
      <w:r>
        <w:rPr>
          <w:color w:val="000000"/>
          <w:szCs w:val="28"/>
          <w:lang w:val="nl-NL"/>
        </w:rPr>
        <w:t xml:space="preserve">3. Quy mô đầu tư: </w:t>
      </w:r>
    </w:p>
    <w:p w:rsidR="00E12714" w:rsidRPr="008F30D2" w:rsidRDefault="00E12714" w:rsidP="00E12714">
      <w:pPr>
        <w:shd w:val="clear" w:color="auto" w:fill="FFFFFF"/>
        <w:spacing w:before="60" w:after="60"/>
        <w:ind w:firstLine="709"/>
        <w:jc w:val="both"/>
        <w:rPr>
          <w:color w:val="000000"/>
          <w:szCs w:val="28"/>
          <w:lang w:val="nl-NL"/>
        </w:rPr>
      </w:pPr>
      <w:r>
        <w:rPr>
          <w:color w:val="000000"/>
          <w:szCs w:val="28"/>
          <w:lang w:val="nl-NL"/>
        </w:rPr>
        <w:t xml:space="preserve">- </w:t>
      </w:r>
      <w:r>
        <w:rPr>
          <w:szCs w:val="28"/>
          <w:lang w:val="nl-NL"/>
        </w:rPr>
        <w:t>Bảng thống kê các hạng mục xây dựng</w:t>
      </w:r>
      <w:r w:rsidRPr="00D260EF">
        <w:rPr>
          <w:szCs w:val="28"/>
          <w:lang w:val="nl-NL"/>
        </w:rPr>
        <w:t>:</w:t>
      </w:r>
    </w:p>
    <w:tbl>
      <w:tblPr>
        <w:tblW w:w="9351" w:type="dxa"/>
        <w:tblInd w:w="113" w:type="dxa"/>
        <w:tblLook w:val="04A0"/>
      </w:tblPr>
      <w:tblGrid>
        <w:gridCol w:w="670"/>
        <w:gridCol w:w="3294"/>
        <w:gridCol w:w="2552"/>
        <w:gridCol w:w="1423"/>
        <w:gridCol w:w="1412"/>
      </w:tblGrid>
      <w:tr w:rsidR="00E12714" w:rsidRPr="00CB1275" w:rsidTr="006574C6">
        <w:trPr>
          <w:trHeight w:val="735"/>
          <w:tblHeader/>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714" w:rsidRPr="00CB1275" w:rsidRDefault="00E12714" w:rsidP="006574C6">
            <w:pPr>
              <w:jc w:val="center"/>
              <w:rPr>
                <w:b/>
                <w:bCs/>
                <w:color w:val="000000"/>
                <w:sz w:val="24"/>
              </w:rPr>
            </w:pPr>
            <w:r w:rsidRPr="00CB1275">
              <w:rPr>
                <w:b/>
                <w:bCs/>
                <w:color w:val="000000"/>
                <w:sz w:val="24"/>
                <w:szCs w:val="22"/>
              </w:rPr>
              <w:t>STT</w:t>
            </w:r>
          </w:p>
        </w:tc>
        <w:tc>
          <w:tcPr>
            <w:tcW w:w="3294" w:type="dxa"/>
            <w:tcBorders>
              <w:top w:val="single" w:sz="4" w:space="0" w:color="auto"/>
              <w:left w:val="nil"/>
              <w:bottom w:val="single" w:sz="4" w:space="0" w:color="auto"/>
              <w:right w:val="single" w:sz="4" w:space="0" w:color="auto"/>
            </w:tcBorders>
            <w:shd w:val="clear" w:color="000000" w:fill="FFFFFF"/>
            <w:vAlign w:val="center"/>
            <w:hideMark/>
          </w:tcPr>
          <w:p w:rsidR="00E12714" w:rsidRPr="00CB1275" w:rsidRDefault="00E12714" w:rsidP="006574C6">
            <w:pPr>
              <w:jc w:val="center"/>
              <w:rPr>
                <w:b/>
                <w:bCs/>
                <w:color w:val="000000"/>
                <w:sz w:val="24"/>
              </w:rPr>
            </w:pPr>
            <w:r w:rsidRPr="0003526E">
              <w:rPr>
                <w:b/>
                <w:bCs/>
                <w:color w:val="000000"/>
                <w:sz w:val="24"/>
                <w:szCs w:val="22"/>
              </w:rPr>
              <w:t>Hạng mục</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E12714" w:rsidRPr="0003526E" w:rsidRDefault="00E12714" w:rsidP="006574C6">
            <w:pPr>
              <w:jc w:val="center"/>
              <w:rPr>
                <w:b/>
                <w:bCs/>
                <w:color w:val="000000"/>
                <w:sz w:val="24"/>
              </w:rPr>
            </w:pPr>
            <w:r w:rsidRPr="0003526E">
              <w:rPr>
                <w:b/>
                <w:bCs/>
                <w:color w:val="000000"/>
                <w:sz w:val="24"/>
                <w:szCs w:val="22"/>
              </w:rPr>
              <w:t xml:space="preserve">Diện tích </w:t>
            </w:r>
          </w:p>
          <w:p w:rsidR="00E12714" w:rsidRPr="00CB1275" w:rsidRDefault="00E12714" w:rsidP="006574C6">
            <w:pPr>
              <w:jc w:val="center"/>
              <w:rPr>
                <w:b/>
                <w:bCs/>
                <w:color w:val="000000"/>
                <w:sz w:val="24"/>
              </w:rPr>
            </w:pPr>
            <w:r w:rsidRPr="0003526E">
              <w:rPr>
                <w:b/>
                <w:bCs/>
                <w:color w:val="000000"/>
                <w:sz w:val="24"/>
                <w:szCs w:val="22"/>
              </w:rPr>
              <w:t xml:space="preserve"> (m2)</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rsidR="00E12714" w:rsidRPr="00CB1275" w:rsidRDefault="00E12714" w:rsidP="006574C6">
            <w:pPr>
              <w:jc w:val="center"/>
              <w:rPr>
                <w:b/>
                <w:bCs/>
                <w:color w:val="000000"/>
                <w:sz w:val="24"/>
              </w:rPr>
            </w:pPr>
            <w:r w:rsidRPr="0003526E">
              <w:rPr>
                <w:b/>
                <w:bCs/>
                <w:color w:val="000000"/>
                <w:sz w:val="24"/>
                <w:szCs w:val="22"/>
              </w:rPr>
              <w:t>Tầng cao (tầng)</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rsidR="00E12714" w:rsidRPr="00CB1275" w:rsidRDefault="00E12714" w:rsidP="006574C6">
            <w:pPr>
              <w:jc w:val="center"/>
              <w:rPr>
                <w:b/>
                <w:bCs/>
                <w:color w:val="000000"/>
                <w:sz w:val="24"/>
              </w:rPr>
            </w:pPr>
            <w:r w:rsidRPr="0003526E">
              <w:rPr>
                <w:b/>
                <w:bCs/>
                <w:color w:val="000000"/>
                <w:sz w:val="24"/>
                <w:szCs w:val="22"/>
              </w:rPr>
              <w:t xml:space="preserve">Tỷ lệ </w:t>
            </w:r>
            <w:r w:rsidRPr="00CB1275">
              <w:rPr>
                <w:b/>
                <w:bCs/>
                <w:color w:val="000000"/>
                <w:sz w:val="24"/>
                <w:szCs w:val="22"/>
              </w:rPr>
              <w:t>(%)</w:t>
            </w:r>
          </w:p>
        </w:tc>
      </w:tr>
      <w:tr w:rsidR="00E12714" w:rsidRPr="00A112DE" w:rsidTr="006574C6">
        <w:trPr>
          <w:trHeight w:val="70"/>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E12714" w:rsidRPr="00A112DE" w:rsidRDefault="00E12714" w:rsidP="006574C6">
            <w:pPr>
              <w:jc w:val="center"/>
              <w:rPr>
                <w:b/>
                <w:bCs/>
                <w:color w:val="000000"/>
                <w:sz w:val="24"/>
              </w:rPr>
            </w:pPr>
            <w:r w:rsidRPr="00A112DE">
              <w:rPr>
                <w:b/>
                <w:bCs/>
                <w:color w:val="000000"/>
                <w:sz w:val="24"/>
                <w:szCs w:val="22"/>
              </w:rPr>
              <w:t>I</w:t>
            </w:r>
          </w:p>
        </w:tc>
        <w:tc>
          <w:tcPr>
            <w:tcW w:w="3294" w:type="dxa"/>
            <w:tcBorders>
              <w:top w:val="single" w:sz="4" w:space="0" w:color="auto"/>
              <w:left w:val="nil"/>
              <w:bottom w:val="single" w:sz="4" w:space="0" w:color="auto"/>
              <w:right w:val="single" w:sz="4" w:space="0" w:color="auto"/>
            </w:tcBorders>
            <w:shd w:val="clear" w:color="000000" w:fill="FFFFFF"/>
            <w:vAlign w:val="center"/>
          </w:tcPr>
          <w:p w:rsidR="00E12714" w:rsidRPr="00A112DE" w:rsidRDefault="00E12714" w:rsidP="006574C6">
            <w:pPr>
              <w:rPr>
                <w:b/>
                <w:bCs/>
                <w:color w:val="000000"/>
                <w:sz w:val="24"/>
              </w:rPr>
            </w:pPr>
            <w:r>
              <w:rPr>
                <w:b/>
                <w:bCs/>
                <w:color w:val="000000"/>
                <w:sz w:val="24"/>
                <w:szCs w:val="22"/>
              </w:rPr>
              <w:t xml:space="preserve">Đất </w:t>
            </w:r>
            <w:r w:rsidRPr="00A112DE">
              <w:rPr>
                <w:b/>
                <w:bCs/>
                <w:color w:val="000000"/>
                <w:sz w:val="24"/>
                <w:szCs w:val="22"/>
              </w:rPr>
              <w:t>Nhà ở xã hội Khu A</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E12714" w:rsidRPr="00A112DE" w:rsidRDefault="00E12714" w:rsidP="006574C6">
            <w:pPr>
              <w:jc w:val="center"/>
              <w:rPr>
                <w:b/>
                <w:bCs/>
                <w:color w:val="000000"/>
                <w:sz w:val="24"/>
              </w:rPr>
            </w:pPr>
            <w:r>
              <w:rPr>
                <w:b/>
                <w:bCs/>
                <w:color w:val="000000"/>
                <w:sz w:val="24"/>
                <w:szCs w:val="22"/>
              </w:rPr>
              <w:t>14.097,6</w:t>
            </w:r>
          </w:p>
        </w:tc>
        <w:tc>
          <w:tcPr>
            <w:tcW w:w="1423" w:type="dxa"/>
            <w:tcBorders>
              <w:top w:val="single" w:sz="4" w:space="0" w:color="auto"/>
              <w:left w:val="nil"/>
              <w:bottom w:val="single" w:sz="4" w:space="0" w:color="auto"/>
              <w:right w:val="single" w:sz="4" w:space="0" w:color="auto"/>
            </w:tcBorders>
            <w:shd w:val="clear" w:color="000000" w:fill="FFFFFF"/>
            <w:vAlign w:val="center"/>
          </w:tcPr>
          <w:p w:rsidR="00E12714" w:rsidRPr="00A112DE" w:rsidRDefault="00E12714" w:rsidP="006574C6">
            <w:pPr>
              <w:jc w:val="center"/>
              <w:rPr>
                <w:b/>
                <w:bCs/>
                <w:color w:val="000000"/>
                <w:sz w:val="24"/>
              </w:rPr>
            </w:pPr>
          </w:p>
        </w:tc>
        <w:tc>
          <w:tcPr>
            <w:tcW w:w="1412" w:type="dxa"/>
            <w:tcBorders>
              <w:top w:val="single" w:sz="4" w:space="0" w:color="auto"/>
              <w:left w:val="nil"/>
              <w:bottom w:val="single" w:sz="4" w:space="0" w:color="auto"/>
              <w:right w:val="single" w:sz="4" w:space="0" w:color="auto"/>
            </w:tcBorders>
            <w:shd w:val="clear" w:color="000000" w:fill="FFFFFF"/>
            <w:vAlign w:val="center"/>
          </w:tcPr>
          <w:p w:rsidR="00E12714" w:rsidRPr="00A112DE" w:rsidRDefault="00E12714" w:rsidP="006574C6">
            <w:pPr>
              <w:jc w:val="center"/>
              <w:rPr>
                <w:b/>
                <w:bCs/>
                <w:color w:val="000000"/>
                <w:sz w:val="24"/>
              </w:rPr>
            </w:pPr>
            <w:r w:rsidRPr="00A112DE">
              <w:rPr>
                <w:b/>
                <w:bCs/>
                <w:color w:val="000000"/>
                <w:sz w:val="24"/>
                <w:szCs w:val="22"/>
              </w:rPr>
              <w:t>100,00</w:t>
            </w:r>
          </w:p>
        </w:tc>
      </w:tr>
      <w:tr w:rsidR="00E12714" w:rsidRPr="00CB1275" w:rsidTr="006574C6">
        <w:trPr>
          <w:trHeight w:val="7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E12714" w:rsidRPr="00CB1275" w:rsidRDefault="00E12714" w:rsidP="006574C6">
            <w:pPr>
              <w:jc w:val="center"/>
              <w:rPr>
                <w:color w:val="000000"/>
                <w:sz w:val="24"/>
              </w:rPr>
            </w:pPr>
            <w:r>
              <w:rPr>
                <w:color w:val="000000"/>
                <w:sz w:val="24"/>
                <w:szCs w:val="22"/>
              </w:rPr>
              <w:t>1</w:t>
            </w:r>
          </w:p>
        </w:tc>
        <w:tc>
          <w:tcPr>
            <w:tcW w:w="3294" w:type="dxa"/>
            <w:tcBorders>
              <w:top w:val="nil"/>
              <w:left w:val="nil"/>
              <w:bottom w:val="single" w:sz="4" w:space="0" w:color="auto"/>
              <w:right w:val="single" w:sz="4" w:space="0" w:color="auto"/>
            </w:tcBorders>
            <w:shd w:val="clear" w:color="000000" w:fill="FFFFFF"/>
            <w:vAlign w:val="center"/>
            <w:hideMark/>
          </w:tcPr>
          <w:p w:rsidR="00E12714" w:rsidRPr="00CB1275" w:rsidRDefault="00E12714" w:rsidP="006574C6">
            <w:pPr>
              <w:rPr>
                <w:color w:val="000000"/>
                <w:sz w:val="24"/>
              </w:rPr>
            </w:pPr>
            <w:r>
              <w:rPr>
                <w:color w:val="000000"/>
                <w:sz w:val="24"/>
                <w:szCs w:val="22"/>
              </w:rPr>
              <w:t xml:space="preserve">Diện tích xây dựng </w:t>
            </w:r>
            <w:r w:rsidRPr="0003526E">
              <w:rPr>
                <w:color w:val="000000"/>
                <w:sz w:val="24"/>
                <w:szCs w:val="22"/>
              </w:rPr>
              <w:t>NOXH1</w:t>
            </w:r>
          </w:p>
        </w:tc>
        <w:tc>
          <w:tcPr>
            <w:tcW w:w="2552" w:type="dxa"/>
            <w:tcBorders>
              <w:top w:val="nil"/>
              <w:left w:val="nil"/>
              <w:bottom w:val="single" w:sz="4" w:space="0" w:color="auto"/>
              <w:right w:val="single" w:sz="4" w:space="0" w:color="auto"/>
            </w:tcBorders>
            <w:shd w:val="clear" w:color="auto" w:fill="auto"/>
            <w:noWrap/>
            <w:vAlign w:val="center"/>
            <w:hideMark/>
          </w:tcPr>
          <w:p w:rsidR="00E12714" w:rsidRPr="00CB1275" w:rsidRDefault="00E12714" w:rsidP="006574C6">
            <w:pPr>
              <w:jc w:val="center"/>
              <w:rPr>
                <w:color w:val="000000"/>
                <w:sz w:val="24"/>
              </w:rPr>
            </w:pPr>
            <w:r w:rsidRPr="00CB1275">
              <w:rPr>
                <w:color w:val="000000"/>
                <w:sz w:val="24"/>
                <w:szCs w:val="22"/>
              </w:rPr>
              <w:t>1</w:t>
            </w:r>
            <w:r>
              <w:rPr>
                <w:color w:val="000000"/>
                <w:sz w:val="24"/>
                <w:szCs w:val="22"/>
              </w:rPr>
              <w:t>.234,7</w:t>
            </w:r>
          </w:p>
        </w:tc>
        <w:tc>
          <w:tcPr>
            <w:tcW w:w="1423" w:type="dxa"/>
            <w:tcBorders>
              <w:top w:val="nil"/>
              <w:left w:val="nil"/>
              <w:bottom w:val="single" w:sz="4" w:space="0" w:color="auto"/>
              <w:right w:val="single" w:sz="4" w:space="0" w:color="auto"/>
            </w:tcBorders>
            <w:shd w:val="clear" w:color="000000" w:fill="FFFFFF"/>
            <w:vAlign w:val="center"/>
            <w:hideMark/>
          </w:tcPr>
          <w:p w:rsidR="00E12714" w:rsidRPr="00CB1275" w:rsidRDefault="00E12714" w:rsidP="006574C6">
            <w:pPr>
              <w:jc w:val="center"/>
              <w:rPr>
                <w:color w:val="000000"/>
                <w:sz w:val="24"/>
              </w:rPr>
            </w:pPr>
            <w:r>
              <w:rPr>
                <w:color w:val="000000"/>
                <w:sz w:val="24"/>
                <w:szCs w:val="22"/>
              </w:rPr>
              <w:t>25</w:t>
            </w:r>
          </w:p>
        </w:tc>
        <w:tc>
          <w:tcPr>
            <w:tcW w:w="1412" w:type="dxa"/>
            <w:tcBorders>
              <w:top w:val="nil"/>
              <w:left w:val="nil"/>
              <w:bottom w:val="single" w:sz="4" w:space="0" w:color="auto"/>
              <w:right w:val="single" w:sz="4" w:space="0" w:color="auto"/>
            </w:tcBorders>
            <w:shd w:val="clear" w:color="000000" w:fill="FFFFFF"/>
            <w:vAlign w:val="center"/>
          </w:tcPr>
          <w:p w:rsidR="00E12714" w:rsidRPr="00CB1275" w:rsidRDefault="00E12714" w:rsidP="006574C6">
            <w:pPr>
              <w:jc w:val="center"/>
              <w:rPr>
                <w:color w:val="000000"/>
                <w:sz w:val="24"/>
              </w:rPr>
            </w:pPr>
            <w:r w:rsidRPr="00FB76FA">
              <w:rPr>
                <w:color w:val="000000"/>
                <w:sz w:val="24"/>
                <w:szCs w:val="22"/>
              </w:rPr>
              <w:t>8</w:t>
            </w:r>
            <w:r>
              <w:rPr>
                <w:color w:val="000000"/>
                <w:sz w:val="24"/>
                <w:szCs w:val="22"/>
              </w:rPr>
              <w:t>,</w:t>
            </w:r>
            <w:r w:rsidRPr="00FB76FA">
              <w:rPr>
                <w:color w:val="000000"/>
                <w:sz w:val="24"/>
                <w:szCs w:val="22"/>
              </w:rPr>
              <w:t>7</w:t>
            </w:r>
            <w:r>
              <w:rPr>
                <w:color w:val="000000"/>
                <w:sz w:val="24"/>
                <w:szCs w:val="22"/>
              </w:rPr>
              <w:t>6</w:t>
            </w:r>
          </w:p>
        </w:tc>
      </w:tr>
      <w:tr w:rsidR="00E12714" w:rsidRPr="00CB1275" w:rsidTr="006574C6">
        <w:trPr>
          <w:trHeight w:val="7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E12714" w:rsidRPr="00CB1275" w:rsidRDefault="00E12714" w:rsidP="006574C6">
            <w:pPr>
              <w:jc w:val="center"/>
              <w:rPr>
                <w:color w:val="000000"/>
                <w:sz w:val="24"/>
              </w:rPr>
            </w:pPr>
            <w:r>
              <w:rPr>
                <w:color w:val="000000"/>
                <w:sz w:val="24"/>
                <w:szCs w:val="22"/>
              </w:rPr>
              <w:t>2</w:t>
            </w:r>
          </w:p>
        </w:tc>
        <w:tc>
          <w:tcPr>
            <w:tcW w:w="3294" w:type="dxa"/>
            <w:tcBorders>
              <w:top w:val="nil"/>
              <w:left w:val="nil"/>
              <w:bottom w:val="single" w:sz="4" w:space="0" w:color="auto"/>
              <w:right w:val="single" w:sz="4" w:space="0" w:color="auto"/>
            </w:tcBorders>
            <w:shd w:val="clear" w:color="000000" w:fill="FFFFFF"/>
            <w:vAlign w:val="center"/>
            <w:hideMark/>
          </w:tcPr>
          <w:p w:rsidR="00E12714" w:rsidRPr="00CB1275" w:rsidRDefault="00E12714" w:rsidP="006574C6">
            <w:pPr>
              <w:rPr>
                <w:color w:val="000000"/>
                <w:sz w:val="24"/>
              </w:rPr>
            </w:pPr>
            <w:r>
              <w:rPr>
                <w:color w:val="000000"/>
                <w:sz w:val="24"/>
                <w:szCs w:val="22"/>
              </w:rPr>
              <w:t xml:space="preserve">Diện tích xây dựng </w:t>
            </w:r>
            <w:r w:rsidRPr="0003526E">
              <w:rPr>
                <w:color w:val="000000"/>
                <w:sz w:val="24"/>
                <w:szCs w:val="22"/>
              </w:rPr>
              <w:t>NOXH2</w:t>
            </w:r>
          </w:p>
        </w:tc>
        <w:tc>
          <w:tcPr>
            <w:tcW w:w="2552" w:type="dxa"/>
            <w:tcBorders>
              <w:top w:val="nil"/>
              <w:left w:val="nil"/>
              <w:bottom w:val="single" w:sz="4" w:space="0" w:color="auto"/>
              <w:right w:val="single" w:sz="4" w:space="0" w:color="auto"/>
            </w:tcBorders>
            <w:shd w:val="clear" w:color="auto" w:fill="auto"/>
            <w:noWrap/>
            <w:vAlign w:val="center"/>
            <w:hideMark/>
          </w:tcPr>
          <w:p w:rsidR="00E12714" w:rsidRPr="00CB1275" w:rsidRDefault="00E12714" w:rsidP="006574C6">
            <w:pPr>
              <w:jc w:val="center"/>
              <w:rPr>
                <w:color w:val="000000"/>
                <w:sz w:val="24"/>
              </w:rPr>
            </w:pPr>
            <w:r w:rsidRPr="00CB1275">
              <w:rPr>
                <w:color w:val="000000"/>
                <w:sz w:val="24"/>
                <w:szCs w:val="22"/>
              </w:rPr>
              <w:t>4</w:t>
            </w:r>
            <w:r>
              <w:rPr>
                <w:color w:val="000000"/>
                <w:sz w:val="24"/>
                <w:szCs w:val="22"/>
              </w:rPr>
              <w:t>.181,7</w:t>
            </w:r>
          </w:p>
        </w:tc>
        <w:tc>
          <w:tcPr>
            <w:tcW w:w="1423" w:type="dxa"/>
            <w:tcBorders>
              <w:top w:val="nil"/>
              <w:left w:val="nil"/>
              <w:bottom w:val="single" w:sz="4" w:space="0" w:color="auto"/>
              <w:right w:val="single" w:sz="4" w:space="0" w:color="auto"/>
            </w:tcBorders>
            <w:shd w:val="clear" w:color="000000" w:fill="FFFFFF"/>
            <w:vAlign w:val="center"/>
            <w:hideMark/>
          </w:tcPr>
          <w:p w:rsidR="00E12714" w:rsidRPr="00CB1275" w:rsidRDefault="00E12714" w:rsidP="006574C6">
            <w:pPr>
              <w:jc w:val="center"/>
              <w:rPr>
                <w:color w:val="000000"/>
                <w:sz w:val="24"/>
              </w:rPr>
            </w:pPr>
            <w:r>
              <w:rPr>
                <w:color w:val="000000"/>
                <w:sz w:val="24"/>
                <w:szCs w:val="22"/>
              </w:rPr>
              <w:t>25</w:t>
            </w:r>
          </w:p>
        </w:tc>
        <w:tc>
          <w:tcPr>
            <w:tcW w:w="1412" w:type="dxa"/>
            <w:tcBorders>
              <w:top w:val="nil"/>
              <w:left w:val="nil"/>
              <w:bottom w:val="single" w:sz="4" w:space="0" w:color="auto"/>
              <w:right w:val="single" w:sz="4" w:space="0" w:color="auto"/>
            </w:tcBorders>
            <w:shd w:val="clear" w:color="000000" w:fill="FFFFFF"/>
            <w:vAlign w:val="center"/>
          </w:tcPr>
          <w:p w:rsidR="00E12714" w:rsidRPr="00CB1275" w:rsidRDefault="00E12714" w:rsidP="006574C6">
            <w:pPr>
              <w:jc w:val="center"/>
              <w:rPr>
                <w:color w:val="000000"/>
                <w:sz w:val="24"/>
              </w:rPr>
            </w:pPr>
            <w:r w:rsidRPr="009C6CB7">
              <w:rPr>
                <w:color w:val="000000"/>
                <w:sz w:val="24"/>
                <w:szCs w:val="22"/>
              </w:rPr>
              <w:t>29</w:t>
            </w:r>
            <w:r>
              <w:rPr>
                <w:color w:val="000000"/>
                <w:sz w:val="24"/>
                <w:szCs w:val="22"/>
              </w:rPr>
              <w:t>,66</w:t>
            </w:r>
          </w:p>
        </w:tc>
      </w:tr>
      <w:tr w:rsidR="00E12714" w:rsidRPr="00FB76FA" w:rsidTr="006574C6">
        <w:trPr>
          <w:trHeight w:val="7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E12714" w:rsidRPr="00FB76FA" w:rsidRDefault="00E12714" w:rsidP="006574C6">
            <w:pPr>
              <w:jc w:val="center"/>
              <w:rPr>
                <w:color w:val="000000"/>
                <w:sz w:val="24"/>
              </w:rPr>
            </w:pPr>
            <w:r w:rsidRPr="00FB76FA">
              <w:rPr>
                <w:color w:val="000000"/>
                <w:sz w:val="24"/>
                <w:szCs w:val="22"/>
              </w:rPr>
              <w:t>3</w:t>
            </w:r>
          </w:p>
        </w:tc>
        <w:tc>
          <w:tcPr>
            <w:tcW w:w="3294" w:type="dxa"/>
            <w:tcBorders>
              <w:top w:val="nil"/>
              <w:left w:val="nil"/>
              <w:bottom w:val="single" w:sz="4" w:space="0" w:color="auto"/>
              <w:right w:val="single" w:sz="4" w:space="0" w:color="auto"/>
            </w:tcBorders>
            <w:shd w:val="clear" w:color="000000" w:fill="FFFFFF"/>
            <w:vAlign w:val="center"/>
            <w:hideMark/>
          </w:tcPr>
          <w:p w:rsidR="00E12714" w:rsidRPr="00FB76FA" w:rsidRDefault="00E12714" w:rsidP="006574C6">
            <w:pPr>
              <w:rPr>
                <w:bCs/>
                <w:color w:val="000000"/>
                <w:sz w:val="24"/>
              </w:rPr>
            </w:pPr>
            <w:r w:rsidRPr="00FB76FA">
              <w:rPr>
                <w:bCs/>
                <w:color w:val="000000"/>
                <w:sz w:val="24"/>
                <w:szCs w:val="22"/>
              </w:rPr>
              <w:t>Diện tích cây xanh thể  thao</w:t>
            </w:r>
          </w:p>
        </w:tc>
        <w:tc>
          <w:tcPr>
            <w:tcW w:w="2552" w:type="dxa"/>
            <w:tcBorders>
              <w:top w:val="nil"/>
              <w:left w:val="nil"/>
              <w:bottom w:val="single" w:sz="4" w:space="0" w:color="auto"/>
              <w:right w:val="single" w:sz="4" w:space="0" w:color="auto"/>
            </w:tcBorders>
            <w:shd w:val="clear" w:color="auto" w:fill="auto"/>
            <w:noWrap/>
            <w:vAlign w:val="center"/>
            <w:hideMark/>
          </w:tcPr>
          <w:p w:rsidR="00E12714" w:rsidRPr="00FB76FA" w:rsidRDefault="00E12714" w:rsidP="006574C6">
            <w:pPr>
              <w:jc w:val="center"/>
              <w:rPr>
                <w:bCs/>
                <w:color w:val="000000"/>
                <w:sz w:val="24"/>
              </w:rPr>
            </w:pPr>
            <w:r w:rsidRPr="00FB76FA">
              <w:rPr>
                <w:bCs/>
                <w:color w:val="000000"/>
                <w:sz w:val="24"/>
                <w:szCs w:val="22"/>
              </w:rPr>
              <w:t>5.616,</w:t>
            </w:r>
            <w:r>
              <w:rPr>
                <w:bCs/>
                <w:color w:val="000000"/>
                <w:sz w:val="24"/>
                <w:szCs w:val="22"/>
              </w:rPr>
              <w:t>4</w:t>
            </w:r>
          </w:p>
        </w:tc>
        <w:tc>
          <w:tcPr>
            <w:tcW w:w="1423" w:type="dxa"/>
            <w:tcBorders>
              <w:top w:val="nil"/>
              <w:left w:val="nil"/>
              <w:bottom w:val="single" w:sz="4" w:space="0" w:color="auto"/>
              <w:right w:val="single" w:sz="4" w:space="0" w:color="auto"/>
            </w:tcBorders>
            <w:shd w:val="clear" w:color="000000" w:fill="FFFFFF"/>
            <w:vAlign w:val="center"/>
            <w:hideMark/>
          </w:tcPr>
          <w:p w:rsidR="00E12714" w:rsidRPr="00FB76FA" w:rsidRDefault="00E12714" w:rsidP="006574C6">
            <w:pPr>
              <w:jc w:val="center"/>
              <w:rPr>
                <w:bCs/>
                <w:color w:val="000000"/>
                <w:sz w:val="24"/>
              </w:rPr>
            </w:pPr>
            <w:r>
              <w:rPr>
                <w:bCs/>
                <w:color w:val="000000"/>
                <w:sz w:val="24"/>
                <w:szCs w:val="22"/>
              </w:rPr>
              <w:t>0</w:t>
            </w:r>
          </w:p>
        </w:tc>
        <w:tc>
          <w:tcPr>
            <w:tcW w:w="1412" w:type="dxa"/>
            <w:tcBorders>
              <w:top w:val="nil"/>
              <w:left w:val="nil"/>
              <w:bottom w:val="single" w:sz="4" w:space="0" w:color="auto"/>
              <w:right w:val="single" w:sz="4" w:space="0" w:color="auto"/>
            </w:tcBorders>
            <w:shd w:val="clear" w:color="000000" w:fill="FFFFFF"/>
            <w:vAlign w:val="center"/>
            <w:hideMark/>
          </w:tcPr>
          <w:p w:rsidR="00E12714" w:rsidRPr="00FB76FA" w:rsidRDefault="00E12714" w:rsidP="006574C6">
            <w:pPr>
              <w:jc w:val="center"/>
              <w:rPr>
                <w:bCs/>
                <w:color w:val="000000"/>
                <w:sz w:val="24"/>
              </w:rPr>
            </w:pPr>
            <w:r w:rsidRPr="00FB76FA">
              <w:rPr>
                <w:bCs/>
                <w:color w:val="000000"/>
                <w:sz w:val="24"/>
                <w:szCs w:val="22"/>
              </w:rPr>
              <w:t>39,84</w:t>
            </w:r>
          </w:p>
        </w:tc>
      </w:tr>
      <w:tr w:rsidR="00E12714" w:rsidRPr="00FB76FA" w:rsidTr="006574C6">
        <w:trPr>
          <w:trHeight w:val="7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E12714" w:rsidRPr="00FB76FA" w:rsidRDefault="00E12714" w:rsidP="006574C6">
            <w:pPr>
              <w:jc w:val="center"/>
              <w:rPr>
                <w:color w:val="000000"/>
                <w:sz w:val="24"/>
              </w:rPr>
            </w:pPr>
            <w:r w:rsidRPr="00FB76FA">
              <w:rPr>
                <w:color w:val="000000"/>
                <w:sz w:val="24"/>
                <w:szCs w:val="22"/>
              </w:rPr>
              <w:t>4</w:t>
            </w:r>
          </w:p>
        </w:tc>
        <w:tc>
          <w:tcPr>
            <w:tcW w:w="3294" w:type="dxa"/>
            <w:tcBorders>
              <w:top w:val="nil"/>
              <w:left w:val="nil"/>
              <w:bottom w:val="single" w:sz="4" w:space="0" w:color="auto"/>
              <w:right w:val="single" w:sz="4" w:space="0" w:color="auto"/>
            </w:tcBorders>
            <w:shd w:val="clear" w:color="000000" w:fill="FFFFFF"/>
            <w:vAlign w:val="center"/>
            <w:hideMark/>
          </w:tcPr>
          <w:p w:rsidR="00E12714" w:rsidRPr="00FB76FA" w:rsidRDefault="00E12714" w:rsidP="006574C6">
            <w:pPr>
              <w:rPr>
                <w:bCs/>
                <w:color w:val="000000"/>
                <w:sz w:val="24"/>
              </w:rPr>
            </w:pPr>
            <w:r w:rsidRPr="00FB76FA">
              <w:rPr>
                <w:bCs/>
                <w:color w:val="000000"/>
                <w:sz w:val="24"/>
                <w:szCs w:val="22"/>
              </w:rPr>
              <w:t>Diện tích sân đường nội bộ</w:t>
            </w:r>
          </w:p>
        </w:tc>
        <w:tc>
          <w:tcPr>
            <w:tcW w:w="2552" w:type="dxa"/>
            <w:tcBorders>
              <w:top w:val="nil"/>
              <w:left w:val="nil"/>
              <w:bottom w:val="single" w:sz="4" w:space="0" w:color="auto"/>
              <w:right w:val="single" w:sz="4" w:space="0" w:color="auto"/>
            </w:tcBorders>
            <w:shd w:val="clear" w:color="auto" w:fill="auto"/>
            <w:noWrap/>
            <w:vAlign w:val="center"/>
            <w:hideMark/>
          </w:tcPr>
          <w:p w:rsidR="00E12714" w:rsidRPr="00FB76FA" w:rsidRDefault="00E12714" w:rsidP="006574C6">
            <w:pPr>
              <w:jc w:val="center"/>
              <w:rPr>
                <w:bCs/>
                <w:color w:val="000000"/>
                <w:sz w:val="24"/>
              </w:rPr>
            </w:pPr>
            <w:r w:rsidRPr="00FB76FA">
              <w:rPr>
                <w:bCs/>
                <w:color w:val="000000"/>
                <w:sz w:val="24"/>
                <w:szCs w:val="22"/>
              </w:rPr>
              <w:t>3.064,</w:t>
            </w:r>
            <w:r>
              <w:rPr>
                <w:bCs/>
                <w:color w:val="000000"/>
                <w:sz w:val="24"/>
                <w:szCs w:val="22"/>
              </w:rPr>
              <w:t>8</w:t>
            </w:r>
          </w:p>
        </w:tc>
        <w:tc>
          <w:tcPr>
            <w:tcW w:w="1423" w:type="dxa"/>
            <w:tcBorders>
              <w:top w:val="nil"/>
              <w:left w:val="nil"/>
              <w:bottom w:val="single" w:sz="4" w:space="0" w:color="auto"/>
              <w:right w:val="single" w:sz="4" w:space="0" w:color="auto"/>
            </w:tcBorders>
            <w:shd w:val="clear" w:color="000000" w:fill="FFFFFF"/>
            <w:vAlign w:val="center"/>
            <w:hideMark/>
          </w:tcPr>
          <w:p w:rsidR="00E12714" w:rsidRPr="00FB76FA" w:rsidRDefault="00E12714" w:rsidP="006574C6">
            <w:pPr>
              <w:jc w:val="center"/>
              <w:rPr>
                <w:bCs/>
                <w:color w:val="000000"/>
                <w:sz w:val="24"/>
              </w:rPr>
            </w:pPr>
            <w:r>
              <w:rPr>
                <w:bCs/>
                <w:color w:val="000000"/>
                <w:sz w:val="24"/>
                <w:szCs w:val="22"/>
              </w:rPr>
              <w:t>0</w:t>
            </w:r>
          </w:p>
        </w:tc>
        <w:tc>
          <w:tcPr>
            <w:tcW w:w="1412" w:type="dxa"/>
            <w:tcBorders>
              <w:top w:val="nil"/>
              <w:left w:val="nil"/>
              <w:bottom w:val="single" w:sz="4" w:space="0" w:color="auto"/>
              <w:right w:val="single" w:sz="4" w:space="0" w:color="auto"/>
            </w:tcBorders>
            <w:shd w:val="clear" w:color="000000" w:fill="FFFFFF"/>
            <w:vAlign w:val="center"/>
            <w:hideMark/>
          </w:tcPr>
          <w:p w:rsidR="00E12714" w:rsidRPr="00FB76FA" w:rsidRDefault="00E12714" w:rsidP="006574C6">
            <w:pPr>
              <w:jc w:val="center"/>
              <w:rPr>
                <w:bCs/>
                <w:color w:val="000000"/>
                <w:sz w:val="24"/>
              </w:rPr>
            </w:pPr>
            <w:r w:rsidRPr="00FB76FA">
              <w:rPr>
                <w:bCs/>
                <w:color w:val="000000"/>
                <w:sz w:val="24"/>
                <w:szCs w:val="22"/>
              </w:rPr>
              <w:t>21,74</w:t>
            </w:r>
          </w:p>
        </w:tc>
      </w:tr>
      <w:tr w:rsidR="00E12714" w:rsidRPr="00A112DE" w:rsidTr="006574C6">
        <w:trPr>
          <w:trHeight w:val="7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E12714" w:rsidRPr="00A112DE" w:rsidRDefault="00E12714" w:rsidP="006574C6">
            <w:pPr>
              <w:jc w:val="center"/>
              <w:rPr>
                <w:b/>
                <w:bCs/>
                <w:color w:val="000000"/>
                <w:sz w:val="24"/>
              </w:rPr>
            </w:pPr>
            <w:r w:rsidRPr="00A112DE">
              <w:rPr>
                <w:b/>
                <w:bCs/>
                <w:color w:val="000000"/>
                <w:sz w:val="24"/>
                <w:szCs w:val="22"/>
              </w:rPr>
              <w:t>II</w:t>
            </w:r>
          </w:p>
        </w:tc>
        <w:tc>
          <w:tcPr>
            <w:tcW w:w="3294"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rPr>
                <w:b/>
                <w:bCs/>
                <w:color w:val="000000"/>
                <w:sz w:val="24"/>
              </w:rPr>
            </w:pPr>
            <w:r>
              <w:rPr>
                <w:b/>
                <w:bCs/>
                <w:color w:val="000000"/>
                <w:sz w:val="24"/>
                <w:szCs w:val="22"/>
              </w:rPr>
              <w:t xml:space="preserve">Đất </w:t>
            </w:r>
            <w:r w:rsidRPr="00A112DE">
              <w:rPr>
                <w:b/>
                <w:bCs/>
                <w:color w:val="000000"/>
                <w:sz w:val="24"/>
                <w:szCs w:val="22"/>
              </w:rPr>
              <w:t>Nhà ở xã hội Khu B</w:t>
            </w:r>
          </w:p>
        </w:tc>
        <w:tc>
          <w:tcPr>
            <w:tcW w:w="2552"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jc w:val="center"/>
              <w:rPr>
                <w:b/>
                <w:bCs/>
                <w:color w:val="000000"/>
                <w:sz w:val="24"/>
              </w:rPr>
            </w:pPr>
            <w:r w:rsidRPr="00A112DE">
              <w:rPr>
                <w:b/>
                <w:bCs/>
                <w:color w:val="000000"/>
                <w:sz w:val="24"/>
                <w:szCs w:val="22"/>
              </w:rPr>
              <w:t>13.905,3</w:t>
            </w:r>
          </w:p>
        </w:tc>
        <w:tc>
          <w:tcPr>
            <w:tcW w:w="1423"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jc w:val="center"/>
              <w:rPr>
                <w:b/>
                <w:bCs/>
                <w:color w:val="000000"/>
                <w:sz w:val="24"/>
              </w:rPr>
            </w:pPr>
          </w:p>
        </w:tc>
        <w:tc>
          <w:tcPr>
            <w:tcW w:w="1412"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jc w:val="center"/>
              <w:rPr>
                <w:b/>
                <w:bCs/>
                <w:color w:val="000000"/>
                <w:sz w:val="24"/>
              </w:rPr>
            </w:pPr>
            <w:r w:rsidRPr="00A112DE">
              <w:rPr>
                <w:b/>
                <w:bCs/>
                <w:color w:val="000000"/>
                <w:sz w:val="24"/>
                <w:szCs w:val="22"/>
              </w:rPr>
              <w:t>100,00</w:t>
            </w:r>
          </w:p>
        </w:tc>
      </w:tr>
      <w:tr w:rsidR="00E12714" w:rsidRPr="00A112DE" w:rsidTr="006574C6">
        <w:trPr>
          <w:trHeight w:val="7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E12714" w:rsidRPr="00A112DE" w:rsidRDefault="00E12714" w:rsidP="006574C6">
            <w:pPr>
              <w:jc w:val="center"/>
              <w:rPr>
                <w:color w:val="000000"/>
                <w:sz w:val="24"/>
              </w:rPr>
            </w:pPr>
            <w:r w:rsidRPr="00A112DE">
              <w:rPr>
                <w:color w:val="000000"/>
                <w:sz w:val="24"/>
                <w:szCs w:val="22"/>
              </w:rPr>
              <w:t>1</w:t>
            </w:r>
          </w:p>
        </w:tc>
        <w:tc>
          <w:tcPr>
            <w:tcW w:w="3294" w:type="dxa"/>
            <w:tcBorders>
              <w:top w:val="nil"/>
              <w:left w:val="nil"/>
              <w:bottom w:val="single" w:sz="4" w:space="0" w:color="auto"/>
              <w:right w:val="single" w:sz="4" w:space="0" w:color="auto"/>
            </w:tcBorders>
            <w:shd w:val="clear" w:color="000000" w:fill="FFFFFF"/>
            <w:vAlign w:val="center"/>
            <w:hideMark/>
          </w:tcPr>
          <w:p w:rsidR="00E12714" w:rsidRPr="00CB1275" w:rsidRDefault="00E12714" w:rsidP="006574C6">
            <w:pPr>
              <w:rPr>
                <w:color w:val="000000"/>
                <w:sz w:val="24"/>
              </w:rPr>
            </w:pPr>
            <w:r>
              <w:rPr>
                <w:color w:val="000000"/>
                <w:sz w:val="24"/>
                <w:szCs w:val="22"/>
              </w:rPr>
              <w:t xml:space="preserve">Diện tích xây dựng </w:t>
            </w:r>
            <w:r w:rsidRPr="0003526E">
              <w:rPr>
                <w:color w:val="000000"/>
                <w:sz w:val="24"/>
                <w:szCs w:val="22"/>
              </w:rPr>
              <w:t>NOXH1</w:t>
            </w:r>
          </w:p>
        </w:tc>
        <w:tc>
          <w:tcPr>
            <w:tcW w:w="2552" w:type="dxa"/>
            <w:tcBorders>
              <w:top w:val="nil"/>
              <w:left w:val="nil"/>
              <w:bottom w:val="single" w:sz="4" w:space="0" w:color="auto"/>
              <w:right w:val="single" w:sz="4" w:space="0" w:color="auto"/>
            </w:tcBorders>
            <w:shd w:val="clear" w:color="auto" w:fill="auto"/>
            <w:noWrap/>
            <w:vAlign w:val="center"/>
            <w:hideMark/>
          </w:tcPr>
          <w:p w:rsidR="00E12714" w:rsidRPr="00A112DE" w:rsidRDefault="00E12714" w:rsidP="006574C6">
            <w:pPr>
              <w:jc w:val="center"/>
              <w:rPr>
                <w:color w:val="000000"/>
                <w:sz w:val="24"/>
              </w:rPr>
            </w:pPr>
            <w:r>
              <w:rPr>
                <w:color w:val="000000"/>
                <w:sz w:val="24"/>
                <w:szCs w:val="22"/>
              </w:rPr>
              <w:t>1.337,8</w:t>
            </w:r>
          </w:p>
        </w:tc>
        <w:tc>
          <w:tcPr>
            <w:tcW w:w="1423"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jc w:val="center"/>
              <w:rPr>
                <w:color w:val="000000"/>
                <w:sz w:val="24"/>
              </w:rPr>
            </w:pPr>
            <w:r>
              <w:rPr>
                <w:color w:val="000000"/>
                <w:sz w:val="24"/>
                <w:szCs w:val="22"/>
              </w:rPr>
              <w:t>25</w:t>
            </w:r>
          </w:p>
        </w:tc>
        <w:tc>
          <w:tcPr>
            <w:tcW w:w="1412"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jc w:val="center"/>
              <w:rPr>
                <w:color w:val="000000"/>
                <w:sz w:val="24"/>
              </w:rPr>
            </w:pPr>
            <w:r>
              <w:rPr>
                <w:color w:val="000000"/>
                <w:sz w:val="24"/>
                <w:szCs w:val="22"/>
              </w:rPr>
              <w:t>9,62</w:t>
            </w:r>
          </w:p>
        </w:tc>
      </w:tr>
      <w:tr w:rsidR="00E12714" w:rsidRPr="00A112DE" w:rsidTr="006574C6">
        <w:trPr>
          <w:trHeight w:val="7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E12714" w:rsidRPr="00A112DE" w:rsidRDefault="00E12714" w:rsidP="006574C6">
            <w:pPr>
              <w:jc w:val="center"/>
              <w:rPr>
                <w:color w:val="000000"/>
                <w:sz w:val="24"/>
              </w:rPr>
            </w:pPr>
            <w:r w:rsidRPr="00A112DE">
              <w:rPr>
                <w:color w:val="000000"/>
                <w:sz w:val="24"/>
                <w:szCs w:val="22"/>
              </w:rPr>
              <w:t>2</w:t>
            </w:r>
          </w:p>
        </w:tc>
        <w:tc>
          <w:tcPr>
            <w:tcW w:w="3294" w:type="dxa"/>
            <w:tcBorders>
              <w:top w:val="nil"/>
              <w:left w:val="nil"/>
              <w:bottom w:val="single" w:sz="4" w:space="0" w:color="auto"/>
              <w:right w:val="single" w:sz="4" w:space="0" w:color="auto"/>
            </w:tcBorders>
            <w:shd w:val="clear" w:color="000000" w:fill="FFFFFF"/>
            <w:vAlign w:val="center"/>
            <w:hideMark/>
          </w:tcPr>
          <w:p w:rsidR="00E12714" w:rsidRPr="00CB1275" w:rsidRDefault="00E12714" w:rsidP="006574C6">
            <w:pPr>
              <w:rPr>
                <w:color w:val="000000"/>
                <w:sz w:val="24"/>
              </w:rPr>
            </w:pPr>
            <w:r>
              <w:rPr>
                <w:color w:val="000000"/>
                <w:sz w:val="24"/>
                <w:szCs w:val="22"/>
              </w:rPr>
              <w:t xml:space="preserve">Diện tích xây dựng </w:t>
            </w:r>
            <w:r w:rsidRPr="0003526E">
              <w:rPr>
                <w:color w:val="000000"/>
                <w:sz w:val="24"/>
                <w:szCs w:val="22"/>
              </w:rPr>
              <w:t>NOXH2</w:t>
            </w:r>
          </w:p>
        </w:tc>
        <w:tc>
          <w:tcPr>
            <w:tcW w:w="2552" w:type="dxa"/>
            <w:tcBorders>
              <w:top w:val="nil"/>
              <w:left w:val="nil"/>
              <w:bottom w:val="single" w:sz="4" w:space="0" w:color="auto"/>
              <w:right w:val="single" w:sz="4" w:space="0" w:color="auto"/>
            </w:tcBorders>
            <w:shd w:val="clear" w:color="auto" w:fill="auto"/>
            <w:noWrap/>
            <w:vAlign w:val="center"/>
            <w:hideMark/>
          </w:tcPr>
          <w:p w:rsidR="00E12714" w:rsidRPr="00A112DE" w:rsidRDefault="00E12714" w:rsidP="006574C6">
            <w:pPr>
              <w:jc w:val="center"/>
              <w:rPr>
                <w:color w:val="000000"/>
                <w:sz w:val="24"/>
              </w:rPr>
            </w:pPr>
            <w:r>
              <w:rPr>
                <w:color w:val="000000"/>
                <w:sz w:val="24"/>
                <w:szCs w:val="22"/>
              </w:rPr>
              <w:t>3.999,5</w:t>
            </w:r>
          </w:p>
        </w:tc>
        <w:tc>
          <w:tcPr>
            <w:tcW w:w="1423"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jc w:val="center"/>
              <w:rPr>
                <w:color w:val="000000"/>
                <w:sz w:val="24"/>
              </w:rPr>
            </w:pPr>
            <w:r>
              <w:rPr>
                <w:color w:val="000000"/>
                <w:sz w:val="24"/>
                <w:szCs w:val="22"/>
              </w:rPr>
              <w:t>25</w:t>
            </w:r>
          </w:p>
        </w:tc>
        <w:tc>
          <w:tcPr>
            <w:tcW w:w="1412"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jc w:val="center"/>
              <w:rPr>
                <w:color w:val="000000"/>
                <w:sz w:val="24"/>
              </w:rPr>
            </w:pPr>
            <w:r>
              <w:rPr>
                <w:color w:val="000000"/>
                <w:sz w:val="24"/>
                <w:szCs w:val="22"/>
              </w:rPr>
              <w:t>28,76</w:t>
            </w:r>
          </w:p>
        </w:tc>
      </w:tr>
      <w:tr w:rsidR="00E12714" w:rsidRPr="00A112DE" w:rsidTr="006574C6">
        <w:trPr>
          <w:trHeight w:val="30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E12714" w:rsidRPr="00A112DE" w:rsidRDefault="00E12714" w:rsidP="006574C6">
            <w:pPr>
              <w:jc w:val="center"/>
              <w:rPr>
                <w:bCs/>
                <w:color w:val="000000"/>
                <w:sz w:val="24"/>
              </w:rPr>
            </w:pPr>
            <w:r w:rsidRPr="00A112DE">
              <w:rPr>
                <w:bCs/>
                <w:color w:val="000000"/>
                <w:sz w:val="24"/>
                <w:szCs w:val="22"/>
              </w:rPr>
              <w:t>3</w:t>
            </w:r>
          </w:p>
        </w:tc>
        <w:tc>
          <w:tcPr>
            <w:tcW w:w="3294"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rPr>
                <w:bCs/>
                <w:color w:val="000000"/>
                <w:sz w:val="24"/>
              </w:rPr>
            </w:pPr>
            <w:r>
              <w:rPr>
                <w:bCs/>
                <w:color w:val="000000"/>
                <w:sz w:val="24"/>
                <w:szCs w:val="22"/>
              </w:rPr>
              <w:t xml:space="preserve">Diện tich cây xanh thể </w:t>
            </w:r>
            <w:r w:rsidRPr="00A112DE">
              <w:rPr>
                <w:bCs/>
                <w:color w:val="000000"/>
                <w:sz w:val="24"/>
                <w:szCs w:val="22"/>
              </w:rPr>
              <w:t>thao</w:t>
            </w:r>
          </w:p>
        </w:tc>
        <w:tc>
          <w:tcPr>
            <w:tcW w:w="2552" w:type="dxa"/>
            <w:tcBorders>
              <w:top w:val="nil"/>
              <w:left w:val="nil"/>
              <w:bottom w:val="single" w:sz="4" w:space="0" w:color="auto"/>
              <w:right w:val="single" w:sz="4" w:space="0" w:color="auto"/>
            </w:tcBorders>
            <w:shd w:val="clear" w:color="auto" w:fill="auto"/>
            <w:noWrap/>
            <w:vAlign w:val="center"/>
            <w:hideMark/>
          </w:tcPr>
          <w:p w:rsidR="00E12714" w:rsidRPr="00A112DE" w:rsidRDefault="00E12714" w:rsidP="006574C6">
            <w:pPr>
              <w:jc w:val="center"/>
              <w:rPr>
                <w:bCs/>
                <w:color w:val="000000"/>
                <w:sz w:val="24"/>
              </w:rPr>
            </w:pPr>
            <w:r w:rsidRPr="00A112DE">
              <w:rPr>
                <w:bCs/>
                <w:color w:val="000000"/>
                <w:sz w:val="24"/>
                <w:szCs w:val="22"/>
              </w:rPr>
              <w:t>5.282</w:t>
            </w:r>
            <w:r>
              <w:rPr>
                <w:bCs/>
                <w:color w:val="000000"/>
                <w:sz w:val="24"/>
                <w:szCs w:val="22"/>
              </w:rPr>
              <w:t>,0</w:t>
            </w:r>
          </w:p>
        </w:tc>
        <w:tc>
          <w:tcPr>
            <w:tcW w:w="1423"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jc w:val="center"/>
              <w:rPr>
                <w:bCs/>
                <w:color w:val="000000"/>
                <w:sz w:val="24"/>
              </w:rPr>
            </w:pPr>
            <w:r>
              <w:rPr>
                <w:bCs/>
                <w:color w:val="000000"/>
                <w:sz w:val="24"/>
                <w:szCs w:val="22"/>
              </w:rPr>
              <w:t>0</w:t>
            </w:r>
          </w:p>
        </w:tc>
        <w:tc>
          <w:tcPr>
            <w:tcW w:w="1412"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jc w:val="center"/>
              <w:rPr>
                <w:bCs/>
                <w:color w:val="000000"/>
                <w:sz w:val="24"/>
              </w:rPr>
            </w:pPr>
            <w:r w:rsidRPr="00A112DE">
              <w:rPr>
                <w:bCs/>
                <w:color w:val="000000"/>
                <w:sz w:val="24"/>
                <w:szCs w:val="22"/>
              </w:rPr>
              <w:t>37,</w:t>
            </w:r>
            <w:r>
              <w:rPr>
                <w:bCs/>
                <w:color w:val="000000"/>
                <w:sz w:val="24"/>
                <w:szCs w:val="22"/>
              </w:rPr>
              <w:t>99</w:t>
            </w:r>
          </w:p>
        </w:tc>
      </w:tr>
      <w:tr w:rsidR="00E12714" w:rsidRPr="00A112DE" w:rsidTr="006574C6">
        <w:trPr>
          <w:trHeight w:val="7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E12714" w:rsidRPr="00A112DE" w:rsidRDefault="00E12714" w:rsidP="006574C6">
            <w:pPr>
              <w:jc w:val="center"/>
              <w:rPr>
                <w:bCs/>
                <w:color w:val="000000"/>
                <w:sz w:val="24"/>
              </w:rPr>
            </w:pPr>
            <w:r w:rsidRPr="00A112DE">
              <w:rPr>
                <w:bCs/>
                <w:color w:val="000000"/>
                <w:sz w:val="24"/>
                <w:szCs w:val="22"/>
              </w:rPr>
              <w:t>4</w:t>
            </w:r>
          </w:p>
        </w:tc>
        <w:tc>
          <w:tcPr>
            <w:tcW w:w="3294"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rPr>
                <w:bCs/>
                <w:color w:val="000000"/>
                <w:sz w:val="24"/>
              </w:rPr>
            </w:pPr>
            <w:r>
              <w:rPr>
                <w:bCs/>
                <w:color w:val="000000"/>
                <w:sz w:val="24"/>
                <w:szCs w:val="22"/>
              </w:rPr>
              <w:t>Diện tích s</w:t>
            </w:r>
            <w:r w:rsidRPr="00A112DE">
              <w:rPr>
                <w:bCs/>
                <w:color w:val="000000"/>
                <w:sz w:val="24"/>
                <w:szCs w:val="22"/>
              </w:rPr>
              <w:t>ân đường nội bộ</w:t>
            </w:r>
          </w:p>
        </w:tc>
        <w:tc>
          <w:tcPr>
            <w:tcW w:w="2552" w:type="dxa"/>
            <w:tcBorders>
              <w:top w:val="nil"/>
              <w:left w:val="nil"/>
              <w:bottom w:val="single" w:sz="4" w:space="0" w:color="auto"/>
              <w:right w:val="single" w:sz="4" w:space="0" w:color="auto"/>
            </w:tcBorders>
            <w:shd w:val="clear" w:color="auto" w:fill="auto"/>
            <w:noWrap/>
            <w:vAlign w:val="center"/>
            <w:hideMark/>
          </w:tcPr>
          <w:p w:rsidR="00E12714" w:rsidRPr="00A112DE" w:rsidRDefault="00E12714" w:rsidP="006574C6">
            <w:pPr>
              <w:jc w:val="center"/>
              <w:rPr>
                <w:bCs/>
                <w:color w:val="000000"/>
                <w:sz w:val="24"/>
              </w:rPr>
            </w:pPr>
            <w:r w:rsidRPr="00A112DE">
              <w:rPr>
                <w:bCs/>
                <w:color w:val="000000"/>
                <w:sz w:val="24"/>
                <w:szCs w:val="22"/>
              </w:rPr>
              <w:t>3.286</w:t>
            </w:r>
            <w:r>
              <w:rPr>
                <w:bCs/>
                <w:color w:val="000000"/>
                <w:sz w:val="24"/>
                <w:szCs w:val="22"/>
              </w:rPr>
              <w:t>,0</w:t>
            </w:r>
          </w:p>
        </w:tc>
        <w:tc>
          <w:tcPr>
            <w:tcW w:w="1423"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jc w:val="center"/>
              <w:rPr>
                <w:bCs/>
                <w:color w:val="000000"/>
                <w:sz w:val="24"/>
              </w:rPr>
            </w:pPr>
            <w:r>
              <w:rPr>
                <w:bCs/>
                <w:color w:val="000000"/>
                <w:sz w:val="24"/>
                <w:szCs w:val="22"/>
              </w:rPr>
              <w:t>0</w:t>
            </w:r>
          </w:p>
        </w:tc>
        <w:tc>
          <w:tcPr>
            <w:tcW w:w="1412" w:type="dxa"/>
            <w:tcBorders>
              <w:top w:val="nil"/>
              <w:left w:val="nil"/>
              <w:bottom w:val="single" w:sz="4" w:space="0" w:color="auto"/>
              <w:right w:val="single" w:sz="4" w:space="0" w:color="auto"/>
            </w:tcBorders>
            <w:shd w:val="clear" w:color="000000" w:fill="FFFFFF"/>
            <w:vAlign w:val="center"/>
            <w:hideMark/>
          </w:tcPr>
          <w:p w:rsidR="00E12714" w:rsidRPr="00A112DE" w:rsidRDefault="00E12714" w:rsidP="006574C6">
            <w:pPr>
              <w:jc w:val="center"/>
              <w:rPr>
                <w:bCs/>
                <w:color w:val="000000"/>
                <w:sz w:val="24"/>
              </w:rPr>
            </w:pPr>
            <w:r w:rsidRPr="00A112DE">
              <w:rPr>
                <w:bCs/>
                <w:color w:val="000000"/>
                <w:sz w:val="24"/>
                <w:szCs w:val="22"/>
              </w:rPr>
              <w:t>23,63</w:t>
            </w:r>
          </w:p>
        </w:tc>
      </w:tr>
    </w:tbl>
    <w:p w:rsidR="00E12714" w:rsidRDefault="00E12714" w:rsidP="00E12714">
      <w:pPr>
        <w:shd w:val="clear" w:color="auto" w:fill="FFFFFF"/>
        <w:spacing w:before="100" w:after="100"/>
        <w:ind w:firstLine="720"/>
        <w:jc w:val="both"/>
        <w:rPr>
          <w:szCs w:val="28"/>
          <w:lang w:val="nl-NL"/>
        </w:rPr>
      </w:pPr>
      <w:r>
        <w:rPr>
          <w:szCs w:val="28"/>
          <w:lang w:val="nl-NL"/>
        </w:rPr>
        <w:t>- Quy mô căn hộ dự kiến khoảng 2.400 căn; dân số dự kiến khoảng 7.200 người (trong quá trình triển khai dự án phải xác định cụ thể dân số của dự án).</w:t>
      </w:r>
    </w:p>
    <w:p w:rsidR="00E12714" w:rsidRPr="00B767EC" w:rsidRDefault="00E12714" w:rsidP="00E12714">
      <w:pPr>
        <w:spacing w:before="80" w:after="80"/>
        <w:ind w:firstLine="567"/>
        <w:jc w:val="both"/>
        <w:rPr>
          <w:bCs/>
          <w:iCs/>
          <w:spacing w:val="-2"/>
          <w:szCs w:val="28"/>
          <w:lang w:val="nl-NL"/>
        </w:rPr>
      </w:pPr>
      <w:r w:rsidRPr="00B767EC">
        <w:rPr>
          <w:bCs/>
          <w:iCs/>
          <w:spacing w:val="-2"/>
          <w:szCs w:val="28"/>
          <w:lang w:val="nl-NL"/>
        </w:rPr>
        <w:t>- Nơi đỗ xe của dự án được bố trí trong tòa nhà NOXH1 và NOXH2 đảm bảo đủ diện tích theo quy định.</w:t>
      </w:r>
    </w:p>
    <w:p w:rsidR="00E12714" w:rsidRDefault="00E12714" w:rsidP="00E12714">
      <w:pPr>
        <w:shd w:val="clear" w:color="auto" w:fill="FFFFFF"/>
        <w:spacing w:before="60" w:after="60"/>
        <w:ind w:firstLine="709"/>
        <w:jc w:val="both"/>
        <w:rPr>
          <w:szCs w:val="28"/>
          <w:lang w:val="nl-NL"/>
        </w:rPr>
      </w:pPr>
      <w:r>
        <w:rPr>
          <w:color w:val="000000"/>
          <w:szCs w:val="28"/>
          <w:lang w:val="nl-NL"/>
        </w:rPr>
        <w:t>4</w:t>
      </w:r>
      <w:r w:rsidRPr="00EF13DF">
        <w:rPr>
          <w:color w:val="000000"/>
          <w:szCs w:val="28"/>
          <w:lang w:val="nl-NL"/>
        </w:rPr>
        <w:t xml:space="preserve">. </w:t>
      </w:r>
      <w:r>
        <w:rPr>
          <w:color w:val="000000"/>
          <w:szCs w:val="28"/>
          <w:lang w:val="nl-NL"/>
        </w:rPr>
        <w:t>Sơ bộ tổng chi phí thực hiện dự án</w:t>
      </w:r>
      <w:r w:rsidRPr="00EF13DF">
        <w:rPr>
          <w:color w:val="000000"/>
          <w:szCs w:val="28"/>
          <w:lang w:val="nl-NL"/>
        </w:rPr>
        <w:t xml:space="preserve">: </w:t>
      </w:r>
      <w:r>
        <w:rPr>
          <w:rFonts w:eastAsia="Batang"/>
          <w:szCs w:val="28"/>
          <w:lang w:val="nl-NL"/>
        </w:rPr>
        <w:t>2.808.871.000.000</w:t>
      </w:r>
      <w:r>
        <w:rPr>
          <w:szCs w:val="28"/>
          <w:lang w:val="nl-NL"/>
        </w:rPr>
        <w:t xml:space="preserve"> đồng; cụ thể:</w:t>
      </w:r>
    </w:p>
    <w:tbl>
      <w:tblPr>
        <w:tblW w:w="9563" w:type="dxa"/>
        <w:tblInd w:w="-95" w:type="dxa"/>
        <w:tblLayout w:type="fixed"/>
        <w:tblLook w:val="04A0"/>
      </w:tblPr>
      <w:tblGrid>
        <w:gridCol w:w="759"/>
        <w:gridCol w:w="2592"/>
        <w:gridCol w:w="987"/>
        <w:gridCol w:w="987"/>
        <w:gridCol w:w="1271"/>
        <w:gridCol w:w="987"/>
        <w:gridCol w:w="1980"/>
      </w:tblGrid>
      <w:tr w:rsidR="00E12714" w:rsidRPr="0036467B" w:rsidTr="006574C6">
        <w:trPr>
          <w:trHeight w:val="507"/>
          <w:tblHeader/>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STT</w:t>
            </w:r>
          </w:p>
        </w:tc>
        <w:tc>
          <w:tcPr>
            <w:tcW w:w="2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Hạng mục</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Đơn vị</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Khối lượng</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 xml:space="preserve">Suất </w:t>
            </w:r>
            <w:r>
              <w:rPr>
                <w:b/>
                <w:bCs/>
                <w:sz w:val="22"/>
                <w:szCs w:val="22"/>
                <w:lang w:val="en-GB" w:eastAsia="en-GB"/>
              </w:rPr>
              <w:t xml:space="preserve">vốn </w:t>
            </w:r>
            <w:r w:rsidRPr="0036467B">
              <w:rPr>
                <w:b/>
                <w:bCs/>
                <w:sz w:val="22"/>
                <w:szCs w:val="22"/>
                <w:lang w:val="en-GB" w:eastAsia="en-GB"/>
              </w:rPr>
              <w:t>đầu tư</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Hệ số ápdụng</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Thành tiền</w:t>
            </w:r>
          </w:p>
        </w:tc>
      </w:tr>
      <w:tr w:rsidR="00E12714" w:rsidRPr="0036467B" w:rsidTr="006574C6">
        <w:trPr>
          <w:trHeight w:val="315"/>
          <w:tblHead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E12714" w:rsidRPr="0036467B" w:rsidRDefault="00E12714" w:rsidP="006574C6">
            <w:pPr>
              <w:spacing w:before="20" w:after="20"/>
              <w:rPr>
                <w:b/>
                <w:bCs/>
                <w:sz w:val="22"/>
                <w:lang w:val="en-GB" w:eastAsia="en-GB"/>
              </w:rPr>
            </w:pPr>
          </w:p>
        </w:tc>
        <w:tc>
          <w:tcPr>
            <w:tcW w:w="2592" w:type="dxa"/>
            <w:vMerge/>
            <w:tcBorders>
              <w:top w:val="single" w:sz="4" w:space="0" w:color="auto"/>
              <w:left w:val="single" w:sz="4" w:space="0" w:color="auto"/>
              <w:bottom w:val="single" w:sz="4" w:space="0" w:color="auto"/>
              <w:right w:val="single" w:sz="4" w:space="0" w:color="auto"/>
            </w:tcBorders>
            <w:vAlign w:val="center"/>
            <w:hideMark/>
          </w:tcPr>
          <w:p w:rsidR="00E12714" w:rsidRPr="0036467B" w:rsidRDefault="00E12714" w:rsidP="006574C6">
            <w:pPr>
              <w:spacing w:before="20" w:after="20"/>
              <w:jc w:val="both"/>
              <w:rPr>
                <w:b/>
                <w:bCs/>
                <w:sz w:val="22"/>
                <w:lang w:val="en-GB" w:eastAsia="en-GB"/>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E12714" w:rsidRPr="0036467B" w:rsidRDefault="00E12714" w:rsidP="006574C6">
            <w:pPr>
              <w:spacing w:before="20" w:after="20"/>
              <w:rPr>
                <w:b/>
                <w:bCs/>
                <w:sz w:val="22"/>
                <w:lang w:val="en-GB" w:eastAsia="en-GB"/>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E12714" w:rsidRPr="0036467B" w:rsidRDefault="00E12714" w:rsidP="006574C6">
            <w:pPr>
              <w:spacing w:before="20" w:after="20"/>
              <w:rPr>
                <w:b/>
                <w:bCs/>
                <w:sz w:val="22"/>
                <w:lang w:val="en-GB" w:eastAsia="en-GB"/>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E12714" w:rsidRPr="0036467B" w:rsidRDefault="00E12714" w:rsidP="006574C6">
            <w:pPr>
              <w:spacing w:before="20" w:after="20"/>
              <w:rPr>
                <w:b/>
                <w:bCs/>
                <w:sz w:val="22"/>
                <w:lang w:val="en-GB" w:eastAsia="en-GB"/>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E12714" w:rsidRPr="0036467B" w:rsidRDefault="00E12714" w:rsidP="006574C6">
            <w:pPr>
              <w:spacing w:before="20" w:after="20"/>
              <w:rPr>
                <w:b/>
                <w:bCs/>
                <w:sz w:val="22"/>
                <w:lang w:val="en-GB" w:eastAsia="en-GB"/>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12714" w:rsidRPr="0036467B" w:rsidRDefault="00E12714" w:rsidP="006574C6">
            <w:pPr>
              <w:spacing w:before="20" w:after="20"/>
              <w:jc w:val="right"/>
              <w:rPr>
                <w:b/>
                <w:bCs/>
                <w:sz w:val="22"/>
                <w:lang w:val="en-GB" w:eastAsia="en-GB"/>
              </w:rPr>
            </w:pPr>
          </w:p>
        </w:tc>
      </w:tr>
      <w:tr w:rsidR="00E12714" w:rsidRPr="0036467B" w:rsidTr="006574C6">
        <w:trPr>
          <w:trHeight w:val="402"/>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I</w:t>
            </w:r>
          </w:p>
        </w:tc>
        <w:tc>
          <w:tcPr>
            <w:tcW w:w="2592"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both"/>
              <w:rPr>
                <w:b/>
                <w:bCs/>
                <w:sz w:val="22"/>
                <w:lang w:val="en-GB" w:eastAsia="en-GB"/>
              </w:rPr>
            </w:pPr>
            <w:r w:rsidRPr="0036467B">
              <w:rPr>
                <w:b/>
                <w:bCs/>
                <w:sz w:val="22"/>
                <w:szCs w:val="22"/>
                <w:lang w:val="en-GB" w:eastAsia="en-GB"/>
              </w:rPr>
              <w:t>Chi phí ĐTXD</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 </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 </w:t>
            </w:r>
          </w:p>
        </w:tc>
        <w:tc>
          <w:tcPr>
            <w:tcW w:w="1271"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 </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b/>
                <w:bCs/>
                <w:sz w:val="22"/>
                <w:lang w:val="en-GB" w:eastAsia="en-GB"/>
              </w:rPr>
            </w:pPr>
            <w:r>
              <w:rPr>
                <w:b/>
                <w:bCs/>
                <w:sz w:val="22"/>
                <w:szCs w:val="22"/>
                <w:lang w:val="en-GB" w:eastAsia="en-GB"/>
              </w:rPr>
              <w:t>2.675.115.554.</w:t>
            </w:r>
            <w:r w:rsidRPr="0036467B">
              <w:rPr>
                <w:b/>
                <w:bCs/>
                <w:sz w:val="22"/>
                <w:szCs w:val="22"/>
                <w:lang w:val="en-GB" w:eastAsia="en-GB"/>
              </w:rPr>
              <w:t xml:space="preserve">720 </w:t>
            </w:r>
          </w:p>
        </w:tc>
      </w:tr>
      <w:tr w:rsidR="00E12714" w:rsidRPr="0036467B" w:rsidTr="006574C6">
        <w:trPr>
          <w:trHeight w:val="37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1</w:t>
            </w:r>
          </w:p>
        </w:tc>
        <w:tc>
          <w:tcPr>
            <w:tcW w:w="2592"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both"/>
              <w:rPr>
                <w:sz w:val="22"/>
                <w:lang w:val="en-GB" w:eastAsia="en-GB"/>
              </w:rPr>
            </w:pPr>
            <w:r w:rsidRPr="0036467B">
              <w:rPr>
                <w:sz w:val="22"/>
                <w:szCs w:val="22"/>
                <w:lang w:val="en-GB" w:eastAsia="en-GB"/>
              </w:rPr>
              <w:t>Nhà ở xã hội khu A</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 </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 </w:t>
            </w:r>
          </w:p>
        </w:tc>
        <w:tc>
          <w:tcPr>
            <w:tcW w:w="1271"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 </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sz w:val="22"/>
                <w:lang w:val="en-GB" w:eastAsia="en-GB"/>
              </w:rPr>
            </w:pPr>
            <w:r w:rsidRPr="0036467B">
              <w:rPr>
                <w:sz w:val="22"/>
                <w:szCs w:val="22"/>
                <w:lang w:val="en-GB" w:eastAsia="en-GB"/>
              </w:rPr>
              <w:t> </w:t>
            </w:r>
          </w:p>
        </w:tc>
      </w:tr>
      <w:tr w:rsidR="00E12714" w:rsidRPr="0036467B" w:rsidTr="006574C6">
        <w:trPr>
          <w:trHeight w:val="7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w:t>
            </w:r>
          </w:p>
        </w:tc>
        <w:tc>
          <w:tcPr>
            <w:tcW w:w="2592"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both"/>
              <w:rPr>
                <w:sz w:val="22"/>
                <w:lang w:val="en-GB" w:eastAsia="en-GB"/>
              </w:rPr>
            </w:pPr>
            <w:r w:rsidRPr="0036467B">
              <w:rPr>
                <w:sz w:val="22"/>
                <w:szCs w:val="22"/>
                <w:lang w:val="en-GB" w:eastAsia="en-GB"/>
              </w:rPr>
              <w:t>Xây dựng hoàn thiện công trình NOXH 1</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m2 sàn</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Pr>
                <w:sz w:val="22"/>
                <w:szCs w:val="22"/>
                <w:lang w:val="en-GB" w:eastAsia="en-GB"/>
              </w:rPr>
              <w:t>30.86,</w:t>
            </w:r>
            <w:r w:rsidRPr="0036467B">
              <w:rPr>
                <w:sz w:val="22"/>
                <w:szCs w:val="22"/>
                <w:lang w:val="en-GB" w:eastAsia="en-GB"/>
              </w:rPr>
              <w:t>5</w:t>
            </w:r>
          </w:p>
        </w:tc>
        <w:tc>
          <w:tcPr>
            <w:tcW w:w="1271"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Pr>
                <w:sz w:val="22"/>
                <w:szCs w:val="22"/>
                <w:lang w:val="en-GB" w:eastAsia="en-GB"/>
              </w:rPr>
              <w:t>11.008.</w:t>
            </w:r>
            <w:r w:rsidRPr="0036467B">
              <w:rPr>
                <w:sz w:val="22"/>
                <w:szCs w:val="22"/>
                <w:lang w:val="en-GB" w:eastAsia="en-GB"/>
              </w:rPr>
              <w:t>000</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sz w:val="22"/>
                <w:lang w:val="en-GB" w:eastAsia="en-GB"/>
              </w:rPr>
            </w:pPr>
            <w:r w:rsidRPr="0036467B">
              <w:rPr>
                <w:sz w:val="22"/>
                <w:szCs w:val="22"/>
                <w:lang w:val="en-GB" w:eastAsia="en-GB"/>
              </w:rPr>
              <w:t>100%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sz w:val="22"/>
                <w:lang w:val="en-GB" w:eastAsia="en-GB"/>
              </w:rPr>
            </w:pPr>
            <w:r>
              <w:rPr>
                <w:sz w:val="22"/>
                <w:szCs w:val="22"/>
                <w:lang w:val="en-GB" w:eastAsia="en-GB"/>
              </w:rPr>
              <w:t>339.789.440.</w:t>
            </w:r>
            <w:r w:rsidRPr="0036467B">
              <w:rPr>
                <w:sz w:val="22"/>
                <w:szCs w:val="22"/>
                <w:lang w:val="en-GB" w:eastAsia="en-GB"/>
              </w:rPr>
              <w:t xml:space="preserve">000 </w:t>
            </w:r>
          </w:p>
        </w:tc>
      </w:tr>
      <w:tr w:rsidR="00E12714" w:rsidRPr="0036467B" w:rsidTr="006574C6">
        <w:trPr>
          <w:trHeight w:val="37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w:t>
            </w:r>
          </w:p>
        </w:tc>
        <w:tc>
          <w:tcPr>
            <w:tcW w:w="2592"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both"/>
              <w:rPr>
                <w:sz w:val="22"/>
                <w:lang w:val="en-GB" w:eastAsia="en-GB"/>
              </w:rPr>
            </w:pPr>
            <w:r w:rsidRPr="0036467B">
              <w:rPr>
                <w:sz w:val="22"/>
                <w:szCs w:val="22"/>
                <w:lang w:val="en-GB" w:eastAsia="en-GB"/>
              </w:rPr>
              <w:t>Xây dựng hoàn thiện công trình NOXH 2</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m2 sàn</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Pr>
                <w:sz w:val="22"/>
                <w:szCs w:val="22"/>
                <w:lang w:val="en-GB" w:eastAsia="en-GB"/>
              </w:rPr>
              <w:t>93.798,</w:t>
            </w:r>
            <w:r w:rsidRPr="0036467B">
              <w:rPr>
                <w:sz w:val="22"/>
                <w:szCs w:val="22"/>
                <w:lang w:val="en-GB" w:eastAsia="en-GB"/>
              </w:rPr>
              <w:t>6</w:t>
            </w:r>
          </w:p>
        </w:tc>
        <w:tc>
          <w:tcPr>
            <w:tcW w:w="1271"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Pr>
                <w:sz w:val="22"/>
                <w:szCs w:val="22"/>
                <w:lang w:val="en-GB" w:eastAsia="en-GB"/>
              </w:rPr>
              <w:t>11.008.</w:t>
            </w:r>
            <w:r w:rsidRPr="0036467B">
              <w:rPr>
                <w:sz w:val="22"/>
                <w:szCs w:val="22"/>
                <w:lang w:val="en-GB" w:eastAsia="en-GB"/>
              </w:rPr>
              <w:t>000</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sz w:val="22"/>
                <w:lang w:val="en-GB" w:eastAsia="en-GB"/>
              </w:rPr>
            </w:pPr>
            <w:r w:rsidRPr="0036467B">
              <w:rPr>
                <w:sz w:val="22"/>
                <w:szCs w:val="22"/>
                <w:lang w:val="en-GB" w:eastAsia="en-GB"/>
              </w:rPr>
              <w:t>100%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sz w:val="22"/>
                <w:lang w:val="en-GB" w:eastAsia="en-GB"/>
              </w:rPr>
            </w:pPr>
            <w:r>
              <w:rPr>
                <w:sz w:val="22"/>
                <w:szCs w:val="22"/>
                <w:lang w:val="en-GB" w:eastAsia="en-GB"/>
              </w:rPr>
              <w:t>1.032.534.988.</w:t>
            </w:r>
            <w:r w:rsidRPr="0036467B">
              <w:rPr>
                <w:sz w:val="22"/>
                <w:szCs w:val="22"/>
                <w:lang w:val="en-GB" w:eastAsia="en-GB"/>
              </w:rPr>
              <w:t xml:space="preserve">800 </w:t>
            </w:r>
          </w:p>
        </w:tc>
      </w:tr>
      <w:tr w:rsidR="00E12714" w:rsidRPr="0036467B" w:rsidTr="006574C6">
        <w:trPr>
          <w:trHeight w:val="37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2</w:t>
            </w:r>
          </w:p>
        </w:tc>
        <w:tc>
          <w:tcPr>
            <w:tcW w:w="2592"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both"/>
              <w:rPr>
                <w:sz w:val="22"/>
                <w:lang w:val="en-GB" w:eastAsia="en-GB"/>
              </w:rPr>
            </w:pPr>
            <w:r w:rsidRPr="0036467B">
              <w:rPr>
                <w:sz w:val="22"/>
                <w:szCs w:val="22"/>
                <w:lang w:val="en-GB" w:eastAsia="en-GB"/>
              </w:rPr>
              <w:t>Nhà ở xã hội khu B</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 </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 </w:t>
            </w:r>
          </w:p>
        </w:tc>
        <w:tc>
          <w:tcPr>
            <w:tcW w:w="1271"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 </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p>
        </w:tc>
      </w:tr>
      <w:tr w:rsidR="00E12714" w:rsidRPr="0036467B" w:rsidTr="006574C6">
        <w:trPr>
          <w:trHeight w:val="37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w:t>
            </w:r>
          </w:p>
        </w:tc>
        <w:tc>
          <w:tcPr>
            <w:tcW w:w="2592"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both"/>
              <w:rPr>
                <w:sz w:val="22"/>
                <w:lang w:val="en-GB" w:eastAsia="en-GB"/>
              </w:rPr>
            </w:pPr>
            <w:r w:rsidRPr="0036467B">
              <w:rPr>
                <w:sz w:val="22"/>
                <w:szCs w:val="22"/>
                <w:lang w:val="en-GB" w:eastAsia="en-GB"/>
              </w:rPr>
              <w:t xml:space="preserve">Xây dựng hoàn thiện công </w:t>
            </w:r>
            <w:r w:rsidRPr="0036467B">
              <w:rPr>
                <w:sz w:val="22"/>
                <w:szCs w:val="22"/>
                <w:lang w:val="en-GB" w:eastAsia="en-GB"/>
              </w:rPr>
              <w:lastRenderedPageBreak/>
              <w:t>trình NOXH 1</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lastRenderedPageBreak/>
              <w:t>m2 sàn</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Pr>
                <w:sz w:val="22"/>
                <w:szCs w:val="22"/>
                <w:lang w:val="en-GB" w:eastAsia="en-GB"/>
              </w:rPr>
              <w:t>33.445,</w:t>
            </w:r>
            <w:r w:rsidRPr="0036467B">
              <w:rPr>
                <w:sz w:val="22"/>
                <w:szCs w:val="22"/>
                <w:lang w:val="en-GB" w:eastAsia="en-GB"/>
              </w:rPr>
              <w:t>0</w:t>
            </w:r>
          </w:p>
        </w:tc>
        <w:tc>
          <w:tcPr>
            <w:tcW w:w="1271"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Pr>
                <w:sz w:val="22"/>
                <w:szCs w:val="22"/>
                <w:lang w:val="en-GB" w:eastAsia="en-GB"/>
              </w:rPr>
              <w:t>11.008.</w:t>
            </w:r>
            <w:r w:rsidRPr="0036467B">
              <w:rPr>
                <w:sz w:val="22"/>
                <w:szCs w:val="22"/>
                <w:lang w:val="en-GB" w:eastAsia="en-GB"/>
              </w:rPr>
              <w:t>000</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sz w:val="22"/>
                <w:lang w:val="en-GB" w:eastAsia="en-GB"/>
              </w:rPr>
            </w:pPr>
            <w:r w:rsidRPr="0036467B">
              <w:rPr>
                <w:sz w:val="22"/>
                <w:szCs w:val="22"/>
                <w:lang w:val="en-GB" w:eastAsia="en-GB"/>
              </w:rPr>
              <w:t>100%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sz w:val="22"/>
                <w:lang w:val="en-GB" w:eastAsia="en-GB"/>
              </w:rPr>
            </w:pPr>
            <w:r>
              <w:rPr>
                <w:sz w:val="22"/>
                <w:szCs w:val="22"/>
                <w:lang w:val="en-GB" w:eastAsia="en-GB"/>
              </w:rPr>
              <w:t>368.162.560.</w:t>
            </w:r>
            <w:r w:rsidRPr="0036467B">
              <w:rPr>
                <w:sz w:val="22"/>
                <w:szCs w:val="22"/>
                <w:lang w:val="en-GB" w:eastAsia="en-GB"/>
              </w:rPr>
              <w:t xml:space="preserve">000 </w:t>
            </w:r>
          </w:p>
        </w:tc>
      </w:tr>
      <w:tr w:rsidR="00E12714" w:rsidRPr="0036467B" w:rsidTr="006574C6">
        <w:trPr>
          <w:trHeight w:val="37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lastRenderedPageBreak/>
              <w:t>-</w:t>
            </w:r>
          </w:p>
        </w:tc>
        <w:tc>
          <w:tcPr>
            <w:tcW w:w="2592"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both"/>
              <w:rPr>
                <w:sz w:val="22"/>
                <w:lang w:val="en-GB" w:eastAsia="en-GB"/>
              </w:rPr>
            </w:pPr>
            <w:r w:rsidRPr="0036467B">
              <w:rPr>
                <w:sz w:val="22"/>
                <w:szCs w:val="22"/>
                <w:lang w:val="en-GB" w:eastAsia="en-GB"/>
              </w:rPr>
              <w:t>Xây dựng hoàn thiện công trình NOXH 2</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m2 sàn</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Pr>
                <w:sz w:val="22"/>
                <w:szCs w:val="22"/>
                <w:lang w:val="en-GB" w:eastAsia="en-GB"/>
              </w:rPr>
              <w:t>83.639,</w:t>
            </w:r>
            <w:r w:rsidRPr="0036467B">
              <w:rPr>
                <w:sz w:val="22"/>
                <w:szCs w:val="22"/>
                <w:lang w:val="en-GB" w:eastAsia="en-GB"/>
              </w:rPr>
              <w:t>0</w:t>
            </w:r>
          </w:p>
        </w:tc>
        <w:tc>
          <w:tcPr>
            <w:tcW w:w="1271"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Pr>
                <w:sz w:val="22"/>
                <w:szCs w:val="22"/>
                <w:lang w:val="en-GB" w:eastAsia="en-GB"/>
              </w:rPr>
              <w:t>11.008.</w:t>
            </w:r>
            <w:r w:rsidRPr="0036467B">
              <w:rPr>
                <w:sz w:val="22"/>
                <w:szCs w:val="22"/>
                <w:lang w:val="en-GB" w:eastAsia="en-GB"/>
              </w:rPr>
              <w:t>000</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sz w:val="22"/>
                <w:lang w:val="en-GB" w:eastAsia="en-GB"/>
              </w:rPr>
            </w:pPr>
            <w:r w:rsidRPr="0036467B">
              <w:rPr>
                <w:sz w:val="22"/>
                <w:szCs w:val="22"/>
                <w:lang w:val="en-GB" w:eastAsia="en-GB"/>
              </w:rPr>
              <w:t>100%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sz w:val="22"/>
                <w:lang w:val="en-GB" w:eastAsia="en-GB"/>
              </w:rPr>
            </w:pPr>
            <w:r>
              <w:rPr>
                <w:sz w:val="22"/>
                <w:szCs w:val="22"/>
                <w:lang w:val="en-GB" w:eastAsia="en-GB"/>
              </w:rPr>
              <w:t>920.698.112.</w:t>
            </w:r>
            <w:r w:rsidRPr="0036467B">
              <w:rPr>
                <w:sz w:val="22"/>
                <w:szCs w:val="22"/>
                <w:lang w:val="en-GB" w:eastAsia="en-GB"/>
              </w:rPr>
              <w:t xml:space="preserve">000 </w:t>
            </w:r>
          </w:p>
        </w:tc>
      </w:tr>
      <w:tr w:rsidR="00E12714" w:rsidRPr="0036467B" w:rsidTr="006574C6">
        <w:trPr>
          <w:trHeight w:val="150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3</w:t>
            </w:r>
          </w:p>
        </w:tc>
        <w:tc>
          <w:tcPr>
            <w:tcW w:w="2592"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both"/>
              <w:rPr>
                <w:sz w:val="22"/>
                <w:lang w:val="en-GB" w:eastAsia="en-GB"/>
              </w:rPr>
            </w:pPr>
            <w:r w:rsidRPr="0036467B">
              <w:rPr>
                <w:sz w:val="22"/>
                <w:szCs w:val="22"/>
                <w:lang w:val="en-GB" w:eastAsia="en-GB"/>
              </w:rPr>
              <w:t>Xây dựng hoàn thiện Hạng mục HTKT trong hàng rào dự án (bao gồm các công trình: Hệ thống thoát nước; Hệ thống cấp nước; Hệ thống cấp điện, điện chiếu sáng; San nền; Giao thông; Bãi đỗ xe; Cây xanh…).</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sidRPr="0036467B">
              <w:rPr>
                <w:sz w:val="22"/>
                <w:szCs w:val="22"/>
                <w:lang w:val="en-GB" w:eastAsia="en-GB"/>
              </w:rPr>
              <w:t>m2</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Pr>
                <w:sz w:val="22"/>
                <w:szCs w:val="22"/>
                <w:lang w:val="en-GB" w:eastAsia="en-GB"/>
              </w:rPr>
              <w:t>17.249,</w:t>
            </w:r>
            <w:r w:rsidRPr="0036467B">
              <w:rPr>
                <w:sz w:val="22"/>
                <w:szCs w:val="22"/>
                <w:lang w:val="en-GB" w:eastAsia="en-GB"/>
              </w:rPr>
              <w:t>2</w:t>
            </w:r>
          </w:p>
        </w:tc>
        <w:tc>
          <w:tcPr>
            <w:tcW w:w="1271"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sz w:val="22"/>
                <w:lang w:val="en-GB" w:eastAsia="en-GB"/>
              </w:rPr>
            </w:pPr>
            <w:r>
              <w:rPr>
                <w:sz w:val="22"/>
                <w:szCs w:val="22"/>
                <w:lang w:val="en-GB" w:eastAsia="en-GB"/>
              </w:rPr>
              <w:t>807.</w:t>
            </w:r>
            <w:r w:rsidRPr="0036467B">
              <w:rPr>
                <w:sz w:val="22"/>
                <w:szCs w:val="22"/>
                <w:lang w:val="en-GB" w:eastAsia="en-GB"/>
              </w:rPr>
              <w:t>600</w:t>
            </w:r>
          </w:p>
        </w:tc>
        <w:tc>
          <w:tcPr>
            <w:tcW w:w="987" w:type="dxa"/>
            <w:tcBorders>
              <w:top w:val="nil"/>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sz w:val="22"/>
                <w:lang w:val="en-GB" w:eastAsia="en-GB"/>
              </w:rPr>
            </w:pPr>
            <w:r w:rsidRPr="0036467B">
              <w:rPr>
                <w:sz w:val="22"/>
                <w:szCs w:val="22"/>
                <w:lang w:val="en-GB" w:eastAsia="en-GB"/>
              </w:rPr>
              <w:t>100%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sz w:val="22"/>
                <w:lang w:val="en-GB" w:eastAsia="en-GB"/>
              </w:rPr>
            </w:pPr>
            <w:r>
              <w:rPr>
                <w:sz w:val="22"/>
                <w:szCs w:val="22"/>
                <w:lang w:val="en-GB" w:eastAsia="en-GB"/>
              </w:rPr>
              <w:t xml:space="preserve">       13.930.453.</w:t>
            </w:r>
            <w:r w:rsidRPr="0036467B">
              <w:rPr>
                <w:sz w:val="22"/>
                <w:szCs w:val="22"/>
                <w:lang w:val="en-GB" w:eastAsia="en-GB"/>
              </w:rPr>
              <w:t xml:space="preserve">920 </w:t>
            </w:r>
          </w:p>
        </w:tc>
      </w:tr>
      <w:tr w:rsidR="00E12714" w:rsidRPr="0036467B" w:rsidTr="006574C6">
        <w:trPr>
          <w:trHeight w:val="70"/>
        </w:trPr>
        <w:tc>
          <w:tcPr>
            <w:tcW w:w="759" w:type="dxa"/>
            <w:tcBorders>
              <w:top w:val="nil"/>
              <w:left w:val="single" w:sz="4" w:space="0" w:color="auto"/>
              <w:bottom w:val="single" w:sz="4" w:space="0" w:color="auto"/>
              <w:right w:val="nil"/>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II</w:t>
            </w:r>
          </w:p>
        </w:tc>
        <w:tc>
          <w:tcPr>
            <w:tcW w:w="2592" w:type="dxa"/>
            <w:tcBorders>
              <w:top w:val="nil"/>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both"/>
              <w:rPr>
                <w:b/>
                <w:bCs/>
                <w:sz w:val="22"/>
                <w:lang w:val="en-GB" w:eastAsia="en-GB"/>
              </w:rPr>
            </w:pPr>
            <w:r w:rsidRPr="0036467B">
              <w:rPr>
                <w:b/>
                <w:bCs/>
                <w:sz w:val="22"/>
                <w:szCs w:val="22"/>
                <w:lang w:val="en-GB" w:eastAsia="en-GB"/>
              </w:rPr>
              <w:t>Chi phí dự phòng</w:t>
            </w:r>
          </w:p>
        </w:tc>
        <w:tc>
          <w:tcPr>
            <w:tcW w:w="4232" w:type="dxa"/>
            <w:gridSpan w:val="4"/>
            <w:tcBorders>
              <w:top w:val="single" w:sz="4" w:space="0" w:color="auto"/>
              <w:left w:val="nil"/>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center"/>
              <w:rPr>
                <w:i/>
                <w:iCs/>
                <w:sz w:val="22"/>
                <w:lang w:val="en-GB" w:eastAsia="en-GB"/>
              </w:rPr>
            </w:pPr>
            <w:r w:rsidRPr="0036467B">
              <w:rPr>
                <w:i/>
                <w:iCs/>
                <w:sz w:val="22"/>
                <w:szCs w:val="22"/>
                <w:lang w:val="en-GB" w:eastAsia="en-GB"/>
              </w:rPr>
              <w:t>(I+II)x5%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b/>
                <w:bCs/>
                <w:sz w:val="22"/>
                <w:lang w:val="en-GB" w:eastAsia="en-GB"/>
              </w:rPr>
            </w:pPr>
            <w:r>
              <w:rPr>
                <w:b/>
                <w:bCs/>
                <w:sz w:val="22"/>
                <w:szCs w:val="22"/>
                <w:lang w:val="en-GB" w:eastAsia="en-GB"/>
              </w:rPr>
              <w:t xml:space="preserve">    133.755.777.</w:t>
            </w:r>
            <w:r w:rsidRPr="0036467B">
              <w:rPr>
                <w:b/>
                <w:bCs/>
                <w:sz w:val="22"/>
                <w:szCs w:val="22"/>
                <w:lang w:val="en-GB" w:eastAsia="en-GB"/>
              </w:rPr>
              <w:t xml:space="preserve">736 </w:t>
            </w:r>
          </w:p>
        </w:tc>
      </w:tr>
      <w:tr w:rsidR="00E12714" w:rsidRPr="0036467B" w:rsidTr="006574C6">
        <w:trPr>
          <w:trHeight w:val="70"/>
        </w:trPr>
        <w:tc>
          <w:tcPr>
            <w:tcW w:w="759" w:type="dxa"/>
            <w:tcBorders>
              <w:top w:val="single" w:sz="4" w:space="0" w:color="auto"/>
              <w:left w:val="single" w:sz="4" w:space="0" w:color="auto"/>
              <w:bottom w:val="single" w:sz="4" w:space="0" w:color="auto"/>
              <w:right w:val="nil"/>
            </w:tcBorders>
            <w:shd w:val="clear" w:color="auto" w:fill="auto"/>
            <w:vAlign w:val="center"/>
            <w:hideMark/>
          </w:tcPr>
          <w:p w:rsidR="00E12714" w:rsidRPr="0036467B" w:rsidRDefault="00E12714" w:rsidP="006574C6">
            <w:pPr>
              <w:spacing w:before="20" w:after="20"/>
              <w:jc w:val="center"/>
              <w:rPr>
                <w:b/>
                <w:bCs/>
                <w:sz w:val="22"/>
                <w:lang w:val="en-GB" w:eastAsia="en-GB"/>
              </w:rPr>
            </w:pPr>
            <w:r w:rsidRPr="0036467B">
              <w:rPr>
                <w:b/>
                <w:bCs/>
                <w:sz w:val="22"/>
                <w:szCs w:val="22"/>
                <w:lang w:val="en-GB" w:eastAsia="en-GB"/>
              </w:rPr>
              <w:t>III</w:t>
            </w:r>
          </w:p>
        </w:tc>
        <w:tc>
          <w:tcPr>
            <w:tcW w:w="68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both"/>
              <w:rPr>
                <w:b/>
                <w:bCs/>
                <w:sz w:val="22"/>
                <w:lang w:val="en-GB" w:eastAsia="en-GB"/>
              </w:rPr>
            </w:pPr>
            <w:r w:rsidRPr="0036467B">
              <w:rPr>
                <w:b/>
                <w:bCs/>
                <w:sz w:val="22"/>
                <w:szCs w:val="22"/>
                <w:lang w:val="en-GB" w:eastAsia="en-GB"/>
              </w:rPr>
              <w:t>Sơ bộ tổng chi phí thực hiện dự án (làm tròn)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714" w:rsidRPr="0036467B" w:rsidRDefault="00E12714" w:rsidP="006574C6">
            <w:pPr>
              <w:spacing w:before="20" w:after="20"/>
              <w:jc w:val="right"/>
              <w:rPr>
                <w:b/>
                <w:bCs/>
                <w:sz w:val="22"/>
                <w:lang w:val="en-GB" w:eastAsia="en-GB"/>
              </w:rPr>
            </w:pPr>
            <w:r>
              <w:rPr>
                <w:b/>
                <w:bCs/>
                <w:sz w:val="22"/>
                <w:szCs w:val="22"/>
                <w:lang w:val="en-GB" w:eastAsia="en-GB"/>
              </w:rPr>
              <w:t>2.808.</w:t>
            </w:r>
            <w:r w:rsidRPr="0036467B">
              <w:rPr>
                <w:b/>
                <w:bCs/>
                <w:sz w:val="22"/>
                <w:szCs w:val="22"/>
                <w:lang w:val="en-GB" w:eastAsia="en-GB"/>
              </w:rPr>
              <w:t>871</w:t>
            </w:r>
            <w:r>
              <w:rPr>
                <w:b/>
                <w:bCs/>
                <w:sz w:val="22"/>
                <w:szCs w:val="22"/>
                <w:lang w:val="en-GB" w:eastAsia="en-GB"/>
              </w:rPr>
              <w:t>.000.000</w:t>
            </w:r>
          </w:p>
        </w:tc>
      </w:tr>
      <w:tr w:rsidR="00E12714" w:rsidRPr="0036467B" w:rsidTr="006574C6">
        <w:trPr>
          <w:trHeight w:val="70"/>
        </w:trPr>
        <w:tc>
          <w:tcPr>
            <w:tcW w:w="95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2714" w:rsidRDefault="00E12714" w:rsidP="006574C6">
            <w:pPr>
              <w:spacing w:before="20" w:after="20"/>
              <w:jc w:val="center"/>
              <w:rPr>
                <w:b/>
                <w:bCs/>
                <w:sz w:val="22"/>
                <w:lang w:val="en-GB" w:eastAsia="en-GB"/>
              </w:rPr>
            </w:pPr>
            <w:r>
              <w:rPr>
                <w:i/>
                <w:iCs/>
                <w:sz w:val="22"/>
                <w:szCs w:val="22"/>
                <w:lang w:val="en-GB" w:eastAsia="en-GB"/>
              </w:rPr>
              <w:t>Hai nghìn, tám trăm lẻ tám tỷ, tám trăm bảy mươi mốt triệu đồng</w:t>
            </w:r>
          </w:p>
        </w:tc>
      </w:tr>
      <w:tr w:rsidR="00E12714" w:rsidRPr="0036467B" w:rsidTr="006574C6">
        <w:trPr>
          <w:trHeight w:val="2397"/>
        </w:trPr>
        <w:tc>
          <w:tcPr>
            <w:tcW w:w="9563" w:type="dxa"/>
            <w:gridSpan w:val="7"/>
            <w:tcBorders>
              <w:top w:val="single" w:sz="4" w:space="0" w:color="auto"/>
            </w:tcBorders>
            <w:shd w:val="clear" w:color="auto" w:fill="auto"/>
            <w:vAlign w:val="center"/>
          </w:tcPr>
          <w:p w:rsidR="00E12714" w:rsidRDefault="00E12714" w:rsidP="006574C6">
            <w:pPr>
              <w:spacing w:before="20" w:after="20"/>
              <w:rPr>
                <w:i/>
                <w:iCs/>
                <w:sz w:val="22"/>
                <w:lang w:val="en-GB" w:eastAsia="en-GB"/>
              </w:rPr>
            </w:pPr>
            <w:r>
              <w:rPr>
                <w:i/>
                <w:iCs/>
                <w:sz w:val="22"/>
                <w:szCs w:val="22"/>
                <w:lang w:val="en-GB" w:eastAsia="en-GB"/>
              </w:rPr>
              <w:t>Ghi chú:</w:t>
            </w:r>
          </w:p>
          <w:p w:rsidR="00E12714" w:rsidRDefault="00E12714" w:rsidP="006574C6">
            <w:pPr>
              <w:spacing w:before="20" w:after="20"/>
              <w:rPr>
                <w:b/>
                <w:bCs/>
                <w:sz w:val="22"/>
                <w:lang w:val="en-GB" w:eastAsia="en-GB"/>
              </w:rPr>
            </w:pPr>
            <w:r w:rsidRPr="0036467B">
              <w:rPr>
                <w:i/>
                <w:iCs/>
                <w:sz w:val="22"/>
                <w:szCs w:val="22"/>
                <w:lang w:val="en-GB" w:eastAsia="en-GB"/>
              </w:rPr>
              <w:t xml:space="preserve">* Sơ bộ tổng </w:t>
            </w:r>
            <w:r>
              <w:rPr>
                <w:i/>
                <w:iCs/>
                <w:sz w:val="22"/>
                <w:szCs w:val="22"/>
                <w:lang w:val="en-GB" w:eastAsia="en-GB"/>
              </w:rPr>
              <w:t>chi phí thực hiện dự án</w:t>
            </w:r>
            <w:r w:rsidRPr="0036467B">
              <w:rPr>
                <w:i/>
                <w:iCs/>
                <w:sz w:val="22"/>
                <w:szCs w:val="22"/>
                <w:lang w:val="en-GB" w:eastAsia="en-GB"/>
              </w:rPr>
              <w:t xml:space="preserve"> nêu trên chưa bao gồm: Chi phí khác…</w:t>
            </w:r>
          </w:p>
          <w:p w:rsidR="00E12714" w:rsidRPr="0036467B" w:rsidRDefault="00E12714" w:rsidP="006574C6">
            <w:pPr>
              <w:spacing w:before="20" w:after="20"/>
              <w:rPr>
                <w:i/>
                <w:iCs/>
                <w:sz w:val="22"/>
                <w:lang w:val="en-GB" w:eastAsia="en-GB"/>
              </w:rPr>
            </w:pPr>
            <w:r w:rsidRPr="0036467B">
              <w:rPr>
                <w:i/>
                <w:iCs/>
                <w:sz w:val="22"/>
                <w:szCs w:val="22"/>
                <w:lang w:val="en-GB" w:eastAsia="en-GB"/>
              </w:rPr>
              <w:t>* Quy mô công trình tại bảng trên áp dụng theo quy hoạch chi tiết được duyệt tại Quyết định số 2271/QĐ</w:t>
            </w:r>
            <w:r>
              <w:rPr>
                <w:i/>
                <w:iCs/>
                <w:sz w:val="22"/>
                <w:szCs w:val="22"/>
                <w:lang w:val="en-GB" w:eastAsia="en-GB"/>
              </w:rPr>
              <w:t>-</w:t>
            </w:r>
            <w:r w:rsidRPr="0036467B">
              <w:rPr>
                <w:i/>
                <w:iCs/>
                <w:sz w:val="22"/>
                <w:szCs w:val="22"/>
                <w:lang w:val="en-GB" w:eastAsia="en-GB"/>
              </w:rPr>
              <w:t>UBND ngày 17/6/2020 ủa UBND tỉnh về việc phê duyệt điều chỉnh cục bộ quy hoạch chi tiết 1/500 Khu ở và dịch vụ thuộc khu đô thị Bắc cầu Hạc, phường Nam Ngạn, thành phố Thanh Hóa (tại vị trí thực hiện dự án Nhà  ở xã hội phường Nam Ngạn theo Quyết định số 623/QĐ-UBND ngày 24/02/2020);</w:t>
            </w:r>
          </w:p>
          <w:p w:rsidR="00E12714" w:rsidRDefault="00E12714" w:rsidP="006574C6">
            <w:pPr>
              <w:spacing w:before="20" w:after="20"/>
              <w:rPr>
                <w:b/>
                <w:bCs/>
                <w:sz w:val="22"/>
                <w:lang w:val="en-GB" w:eastAsia="en-GB"/>
              </w:rPr>
            </w:pPr>
            <w:r w:rsidRPr="0036467B">
              <w:rPr>
                <w:i/>
                <w:iCs/>
                <w:sz w:val="22"/>
                <w:szCs w:val="22"/>
                <w:lang w:val="en-GB" w:eastAsia="en-GB"/>
              </w:rPr>
              <w:t>* Suất vốn đầu tư tại bảng trên áp dụng Suất vốn đầu tư xây dựng công trình và giá xây dựng tổng hợp bộ phận kết cấu công trình năm 2018 được Bộ Xây dựng ban hành kèm theo Quyết định số 44/QĐ-BXD ngày 14/01/2020.</w:t>
            </w:r>
          </w:p>
        </w:tc>
      </w:tr>
    </w:tbl>
    <w:p w:rsidR="00E12714" w:rsidRDefault="00E12714" w:rsidP="00E12714">
      <w:pPr>
        <w:shd w:val="clear" w:color="auto" w:fill="FFFFFF"/>
        <w:spacing w:before="60" w:after="60"/>
        <w:ind w:firstLine="709"/>
        <w:jc w:val="both"/>
        <w:rPr>
          <w:color w:val="000000"/>
          <w:szCs w:val="28"/>
          <w:lang w:val="nl-NL"/>
        </w:rPr>
      </w:pPr>
      <w:r>
        <w:rPr>
          <w:color w:val="000000"/>
          <w:szCs w:val="28"/>
          <w:lang w:val="nl-NL"/>
        </w:rPr>
        <w:t>5. Tiến độ thực hiện dự án: Từ năm 2021-2023.</w:t>
      </w:r>
    </w:p>
    <w:p w:rsidR="00E12714" w:rsidRDefault="00E12714" w:rsidP="00E12714">
      <w:pPr>
        <w:shd w:val="clear" w:color="auto" w:fill="FFFFFF"/>
        <w:spacing w:before="60" w:after="60"/>
        <w:ind w:firstLine="709"/>
        <w:jc w:val="both"/>
        <w:rPr>
          <w:color w:val="000000"/>
          <w:szCs w:val="28"/>
          <w:lang w:val="nl-NL"/>
        </w:rPr>
      </w:pPr>
      <w:r>
        <w:rPr>
          <w:color w:val="000000"/>
          <w:szCs w:val="28"/>
          <w:lang w:val="nl-NL"/>
        </w:rPr>
        <w:t>6</w:t>
      </w:r>
      <w:r w:rsidRPr="00117ED6">
        <w:rPr>
          <w:color w:val="000000"/>
          <w:szCs w:val="28"/>
          <w:lang w:val="nl-NL"/>
        </w:rPr>
        <w:t>. Địa điểm</w:t>
      </w:r>
      <w:r>
        <w:rPr>
          <w:color w:val="000000"/>
          <w:szCs w:val="28"/>
          <w:lang w:val="nl-NL"/>
        </w:rPr>
        <w:t>, diện tích và các chỉ tiêu sử dụng đất</w:t>
      </w:r>
      <w:r w:rsidRPr="00117ED6">
        <w:rPr>
          <w:color w:val="000000"/>
          <w:szCs w:val="28"/>
          <w:lang w:val="nl-NL"/>
        </w:rPr>
        <w:t>:</w:t>
      </w:r>
    </w:p>
    <w:p w:rsidR="00E12714" w:rsidRDefault="00E12714" w:rsidP="00E12714">
      <w:pPr>
        <w:shd w:val="clear" w:color="auto" w:fill="FFFFFF"/>
        <w:spacing w:before="60" w:after="60"/>
        <w:ind w:firstLine="709"/>
        <w:jc w:val="both"/>
        <w:rPr>
          <w:iCs/>
          <w:szCs w:val="28"/>
          <w:lang w:val="nl-NL"/>
        </w:rPr>
      </w:pPr>
      <w:r>
        <w:rPr>
          <w:szCs w:val="28"/>
          <w:lang w:val="nl-NL"/>
        </w:rPr>
        <w:t>- Địa điểm: Tại phường Nam Ngạn thành phố Thanh Hóathuộc Quy hoạch chi tiết xây dựng tỷ lệ 1/500 Khu ở và dịch vụ thuộc khu đô thị Bắc cầu Hạc, phường Nam Ngạn, thành phố Thanh Hóa (được UBND thành phố Thanh Hóa phê duyệt tại Quyết định số 4873/QĐ-UBND ngày 23/6/2016)</w:t>
      </w:r>
    </w:p>
    <w:p w:rsidR="00E12714" w:rsidRPr="00117ED6" w:rsidRDefault="00E12714" w:rsidP="00E12714">
      <w:pPr>
        <w:shd w:val="clear" w:color="auto" w:fill="FFFFFF"/>
        <w:spacing w:before="60" w:after="60"/>
        <w:ind w:firstLine="709"/>
        <w:jc w:val="both"/>
        <w:rPr>
          <w:color w:val="000000"/>
          <w:szCs w:val="28"/>
          <w:lang w:val="nl-NL"/>
        </w:rPr>
      </w:pPr>
      <w:r>
        <w:rPr>
          <w:color w:val="000000"/>
          <w:szCs w:val="28"/>
          <w:lang w:val="nl-NL"/>
        </w:rPr>
        <w:t>-</w:t>
      </w:r>
      <w:r w:rsidRPr="00117ED6">
        <w:rPr>
          <w:color w:val="000000"/>
          <w:szCs w:val="28"/>
          <w:lang w:val="nl-NL"/>
        </w:rPr>
        <w:t xml:space="preserve"> Diện tích </w:t>
      </w:r>
      <w:r>
        <w:rPr>
          <w:color w:val="000000"/>
          <w:szCs w:val="28"/>
          <w:lang w:val="nl-NL"/>
        </w:rPr>
        <w:t>sử dụng</w:t>
      </w:r>
      <w:r w:rsidRPr="00117ED6">
        <w:rPr>
          <w:color w:val="000000"/>
          <w:szCs w:val="28"/>
          <w:lang w:val="nl-NL"/>
        </w:rPr>
        <w:t xml:space="preserve"> đất: </w:t>
      </w:r>
      <w:r>
        <w:rPr>
          <w:color w:val="000000"/>
          <w:szCs w:val="28"/>
          <w:lang w:val="nl-NL"/>
        </w:rPr>
        <w:t>Khoảng</w:t>
      </w:r>
      <w:r>
        <w:rPr>
          <w:spacing w:val="-4"/>
          <w:szCs w:val="28"/>
          <w:lang w:val="nl-NL"/>
        </w:rPr>
        <w:t>28.002,9</w:t>
      </w:r>
      <w:r w:rsidRPr="009B131F">
        <w:rPr>
          <w:spacing w:val="-4"/>
          <w:szCs w:val="28"/>
          <w:lang w:val="nl-NL"/>
        </w:rPr>
        <w:t>m</w:t>
      </w:r>
      <w:r>
        <w:rPr>
          <w:spacing w:val="-4"/>
          <w:szCs w:val="28"/>
          <w:vertAlign w:val="superscript"/>
          <w:lang w:val="nl-NL"/>
        </w:rPr>
        <w:t>2</w:t>
      </w:r>
      <w:r w:rsidRPr="00D24527">
        <w:rPr>
          <w:szCs w:val="28"/>
          <w:lang w:val="nl-NL"/>
        </w:rPr>
        <w:t>.</w:t>
      </w:r>
      <w:r>
        <w:rPr>
          <w:color w:val="000000"/>
          <w:szCs w:val="28"/>
          <w:lang w:val="nl-NL"/>
        </w:rPr>
        <w:t xml:space="preserve"> Với r</w:t>
      </w:r>
      <w:r w:rsidRPr="00117ED6">
        <w:rPr>
          <w:color w:val="000000"/>
          <w:szCs w:val="28"/>
          <w:lang w:val="nl-NL"/>
        </w:rPr>
        <w:t>a</w:t>
      </w:r>
      <w:r>
        <w:rPr>
          <w:color w:val="000000"/>
          <w:szCs w:val="28"/>
          <w:lang w:val="nl-NL"/>
        </w:rPr>
        <w:t>nh giới khu đất cụ thể gồm 02 khu:</w:t>
      </w:r>
    </w:p>
    <w:p w:rsidR="00E12714" w:rsidRPr="009B131F" w:rsidRDefault="00E12714" w:rsidP="00E12714">
      <w:pPr>
        <w:shd w:val="clear" w:color="auto" w:fill="FFFFFF"/>
        <w:spacing w:before="100" w:after="100"/>
        <w:ind w:firstLine="720"/>
        <w:jc w:val="both"/>
        <w:rPr>
          <w:spacing w:val="-4"/>
          <w:szCs w:val="28"/>
          <w:lang w:val="nl-NL"/>
        </w:rPr>
      </w:pPr>
      <w:r w:rsidRPr="009B131F">
        <w:rPr>
          <w:spacing w:val="-4"/>
          <w:szCs w:val="28"/>
          <w:lang w:val="nl-NL"/>
        </w:rPr>
        <w:t xml:space="preserve">+ </w:t>
      </w:r>
      <w:r>
        <w:rPr>
          <w:spacing w:val="-4"/>
          <w:szCs w:val="28"/>
          <w:lang w:val="nl-NL"/>
        </w:rPr>
        <w:t>Khu đất NOXH khu A</w:t>
      </w:r>
      <w:r w:rsidRPr="009B131F">
        <w:rPr>
          <w:spacing w:val="-4"/>
          <w:szCs w:val="28"/>
          <w:lang w:val="nl-NL"/>
        </w:rPr>
        <w:t>: Phía Bắc giáp đường quy hoạch; phía Nam giáp đường quy hoạch; phía Đồng giáp đường quy hoạch; phía Tây giáp đường tránh QL1A.</w:t>
      </w:r>
    </w:p>
    <w:p w:rsidR="00E12714" w:rsidRDefault="00E12714" w:rsidP="00E12714">
      <w:pPr>
        <w:shd w:val="clear" w:color="auto" w:fill="FFFFFF"/>
        <w:spacing w:before="100" w:after="100"/>
        <w:ind w:firstLine="720"/>
        <w:jc w:val="both"/>
        <w:rPr>
          <w:spacing w:val="-4"/>
          <w:szCs w:val="28"/>
          <w:lang w:val="nl-NL"/>
        </w:rPr>
      </w:pPr>
      <w:r w:rsidRPr="009B131F">
        <w:rPr>
          <w:spacing w:val="-4"/>
          <w:szCs w:val="28"/>
          <w:lang w:val="nl-NL"/>
        </w:rPr>
        <w:t xml:space="preserve">+ </w:t>
      </w:r>
      <w:r>
        <w:rPr>
          <w:spacing w:val="-4"/>
          <w:szCs w:val="28"/>
          <w:lang w:val="nl-NL"/>
        </w:rPr>
        <w:t>Khu đất NOXH khu B</w:t>
      </w:r>
      <w:r w:rsidRPr="009B131F">
        <w:rPr>
          <w:spacing w:val="-4"/>
          <w:szCs w:val="28"/>
          <w:lang w:val="nl-NL"/>
        </w:rPr>
        <w:t>: Phía Bắc giáp đường quy hoạch; phía Nam giáp đường quy hoạch; phía Đồng giáp đường quy hoạch; phía Tây giáp đường tránh QL1A.</w:t>
      </w:r>
    </w:p>
    <w:p w:rsidR="00E12714" w:rsidRDefault="00E12714" w:rsidP="00E12714">
      <w:pPr>
        <w:shd w:val="clear" w:color="auto" w:fill="FFFFFF"/>
        <w:spacing w:before="60" w:after="60"/>
        <w:ind w:firstLine="709"/>
        <w:jc w:val="both"/>
        <w:rPr>
          <w:color w:val="000000"/>
          <w:szCs w:val="28"/>
          <w:lang w:val="nl-NL"/>
        </w:rPr>
      </w:pPr>
      <w:r>
        <w:rPr>
          <w:color w:val="000000"/>
          <w:szCs w:val="28"/>
          <w:lang w:val="nl-NL"/>
        </w:rPr>
        <w:t>-Chỉ tiêu sử dụng đất theo quy hoạch chi tiết được duyệt (tại Quyết định số 2271/QĐ-UBND ngày 17/6/2020 của UBND tỉnh Thanh Hóa):</w:t>
      </w:r>
    </w:p>
    <w:p w:rsidR="00E12714" w:rsidRDefault="00E12714" w:rsidP="00E12714">
      <w:pPr>
        <w:shd w:val="clear" w:color="auto" w:fill="FFFFFF"/>
        <w:spacing w:before="100" w:after="100"/>
        <w:ind w:firstLine="720"/>
        <w:jc w:val="both"/>
        <w:rPr>
          <w:szCs w:val="28"/>
          <w:lang w:val="nl-NL"/>
        </w:rPr>
      </w:pPr>
      <w:r>
        <w:rPr>
          <w:szCs w:val="28"/>
          <w:lang w:val="nl-NL"/>
        </w:rPr>
        <w:t xml:space="preserve">+ Khu A: Diện tích </w:t>
      </w:r>
      <w:r>
        <w:rPr>
          <w:spacing w:val="-2"/>
          <w:szCs w:val="28"/>
          <w:lang w:val="nl-NL"/>
        </w:rPr>
        <w:t>14.097,6m</w:t>
      </w:r>
      <w:r>
        <w:rPr>
          <w:spacing w:val="-2"/>
          <w:szCs w:val="28"/>
          <w:vertAlign w:val="superscript"/>
          <w:lang w:val="nl-NL"/>
        </w:rPr>
        <w:t>2</w:t>
      </w:r>
      <w:r>
        <w:rPr>
          <w:spacing w:val="-2"/>
          <w:szCs w:val="28"/>
          <w:lang w:val="nl-NL"/>
        </w:rPr>
        <w:t>;</w:t>
      </w:r>
      <w:r>
        <w:rPr>
          <w:szCs w:val="28"/>
          <w:lang w:val="nl-NL"/>
        </w:rPr>
        <w:t xml:space="preserve"> Mật độ xây dựng tối đa 40%; Tầng cao công trình 25 tầng; Hệ số sử dụng đất khoảng 9,6 lần.</w:t>
      </w:r>
    </w:p>
    <w:p w:rsidR="00E12714" w:rsidRPr="00330077" w:rsidRDefault="00E12714" w:rsidP="00E12714">
      <w:pPr>
        <w:shd w:val="clear" w:color="auto" w:fill="FFFFFF"/>
        <w:spacing w:before="100" w:after="100"/>
        <w:ind w:firstLine="720"/>
        <w:jc w:val="both"/>
        <w:rPr>
          <w:szCs w:val="28"/>
          <w:lang w:val="nl-NL"/>
        </w:rPr>
      </w:pPr>
      <w:r>
        <w:rPr>
          <w:szCs w:val="28"/>
          <w:lang w:val="nl-NL"/>
        </w:rPr>
        <w:t xml:space="preserve">+ Khu B: Diện tích </w:t>
      </w:r>
      <w:r>
        <w:rPr>
          <w:spacing w:val="-2"/>
          <w:szCs w:val="28"/>
          <w:lang w:val="nl-NL"/>
        </w:rPr>
        <w:t>13.905,3m</w:t>
      </w:r>
      <w:r>
        <w:rPr>
          <w:spacing w:val="-2"/>
          <w:szCs w:val="28"/>
          <w:vertAlign w:val="superscript"/>
          <w:lang w:val="nl-NL"/>
        </w:rPr>
        <w:t>2</w:t>
      </w:r>
      <w:r>
        <w:rPr>
          <w:spacing w:val="-2"/>
          <w:szCs w:val="28"/>
          <w:lang w:val="nl-NL"/>
        </w:rPr>
        <w:t>;</w:t>
      </w:r>
      <w:r>
        <w:rPr>
          <w:szCs w:val="28"/>
          <w:lang w:val="nl-NL"/>
        </w:rPr>
        <w:t xml:space="preserve"> Mật độ xây dựng tối đa 40%; Tầng cao công trình 25 tầng; Hệ số sử dụng đất khoảng 9,6 lần.</w:t>
      </w:r>
    </w:p>
    <w:p w:rsidR="00E12714" w:rsidRDefault="00E12714" w:rsidP="00E12714">
      <w:pPr>
        <w:shd w:val="clear" w:color="auto" w:fill="FFFFFF"/>
        <w:spacing w:before="60" w:after="60"/>
        <w:ind w:firstLine="709"/>
        <w:jc w:val="both"/>
        <w:rPr>
          <w:bCs/>
          <w:szCs w:val="28"/>
          <w:lang w:val="nl-NL"/>
        </w:rPr>
      </w:pPr>
      <w:r>
        <w:rPr>
          <w:color w:val="000000"/>
          <w:szCs w:val="28"/>
          <w:lang w:val="nl-NL"/>
        </w:rPr>
        <w:lastRenderedPageBreak/>
        <w:t>7</w:t>
      </w:r>
      <w:r w:rsidRPr="00EF13DF">
        <w:rPr>
          <w:color w:val="000000"/>
          <w:szCs w:val="28"/>
          <w:lang w:val="nl-NL"/>
        </w:rPr>
        <w:t xml:space="preserve">. Hiện trạng khu đất: </w:t>
      </w:r>
      <w:r>
        <w:rPr>
          <w:bCs/>
          <w:szCs w:val="28"/>
          <w:lang w:val="nl-NL"/>
        </w:rPr>
        <w:t>Khu đất cơ bản đã được bồi thường, giải phóng mặt bằng; hiện đang được đầu tư hạ tầng kỹ thuật xung quanh khu đất</w:t>
      </w:r>
      <w:r w:rsidRPr="00EF13DF">
        <w:rPr>
          <w:bCs/>
          <w:szCs w:val="28"/>
          <w:lang w:val="nl-NL"/>
        </w:rPr>
        <w:t>.</w:t>
      </w:r>
    </w:p>
    <w:p w:rsidR="00E12714" w:rsidRPr="00EF13DF" w:rsidRDefault="00E12714" w:rsidP="00E12714">
      <w:pPr>
        <w:shd w:val="clear" w:color="auto" w:fill="FFFFFF"/>
        <w:spacing w:before="60" w:after="60"/>
        <w:ind w:firstLine="709"/>
        <w:jc w:val="both"/>
        <w:rPr>
          <w:b/>
          <w:color w:val="000000"/>
          <w:szCs w:val="28"/>
          <w:lang w:val="pl-PL"/>
        </w:rPr>
      </w:pPr>
      <w:r>
        <w:rPr>
          <w:b/>
          <w:bCs/>
          <w:szCs w:val="28"/>
          <w:lang w:val="nl-NL"/>
        </w:rPr>
        <w:t>I</w:t>
      </w:r>
      <w:r>
        <w:rPr>
          <w:b/>
          <w:color w:val="000000"/>
          <w:szCs w:val="28"/>
          <w:lang w:val="pl-PL"/>
        </w:rPr>
        <w:t>II</w:t>
      </w:r>
      <w:r w:rsidRPr="00EF13DF">
        <w:rPr>
          <w:b/>
          <w:color w:val="000000"/>
          <w:szCs w:val="28"/>
          <w:lang w:val="pl-PL"/>
        </w:rPr>
        <w:t>. Các yêu cầu cụ thể</w:t>
      </w:r>
      <w:r>
        <w:rPr>
          <w:b/>
          <w:color w:val="000000"/>
          <w:szCs w:val="28"/>
          <w:lang w:val="pl-PL"/>
        </w:rPr>
        <w:t>.</w:t>
      </w:r>
    </w:p>
    <w:p w:rsidR="00E12714" w:rsidRPr="00EF13DF" w:rsidRDefault="00E12714" w:rsidP="00E12714">
      <w:pPr>
        <w:shd w:val="clear" w:color="auto" w:fill="FFFFFF"/>
        <w:spacing w:before="60" w:after="60"/>
        <w:ind w:firstLine="709"/>
        <w:jc w:val="both"/>
        <w:rPr>
          <w:color w:val="000000"/>
          <w:szCs w:val="28"/>
          <w:lang w:val="pl-PL"/>
        </w:rPr>
      </w:pPr>
      <w:r w:rsidRPr="00EF13DF">
        <w:rPr>
          <w:color w:val="000000"/>
          <w:szCs w:val="28"/>
          <w:lang w:val="pl-PL"/>
        </w:rPr>
        <w:t>1. Điều kiện đăng ký tham gia làm chủ đầu tư dự án:</w:t>
      </w:r>
    </w:p>
    <w:p w:rsidR="00E12714" w:rsidRPr="00EF13DF" w:rsidRDefault="00E12714" w:rsidP="00E12714">
      <w:pPr>
        <w:shd w:val="clear" w:color="auto" w:fill="FFFFFF"/>
        <w:spacing w:before="60" w:after="60"/>
        <w:ind w:firstLine="709"/>
        <w:jc w:val="both"/>
        <w:rPr>
          <w:color w:val="000000"/>
          <w:szCs w:val="28"/>
          <w:lang w:val="pl-PL"/>
        </w:rPr>
      </w:pPr>
      <w:r w:rsidRPr="00EF13DF">
        <w:rPr>
          <w:color w:val="000000"/>
          <w:szCs w:val="28"/>
          <w:lang w:val="pl-PL"/>
        </w:rPr>
        <w:t>- Doanh nghiệp, hợp tác xã được thành lập và hoạt động theo quy định của pháp luật Việt Nam về doanh nghiệp, hợp tác xã.</w:t>
      </w:r>
    </w:p>
    <w:p w:rsidR="00E12714" w:rsidRPr="00EF13DF" w:rsidRDefault="00E12714" w:rsidP="00E12714">
      <w:pPr>
        <w:shd w:val="clear" w:color="auto" w:fill="FFFFFF"/>
        <w:spacing w:before="60" w:after="60"/>
        <w:ind w:firstLine="709"/>
        <w:jc w:val="both"/>
        <w:rPr>
          <w:color w:val="000000"/>
          <w:szCs w:val="28"/>
          <w:lang w:val="pl-PL"/>
        </w:rPr>
      </w:pPr>
      <w:r w:rsidRPr="00EF13DF">
        <w:rPr>
          <w:color w:val="000000"/>
          <w:szCs w:val="28"/>
          <w:lang w:val="pl-PL"/>
        </w:rPr>
        <w:t>- Có vốn pháp định không thấp hơn 20 tỷ đồng và có đủ vốn để</w:t>
      </w:r>
      <w:r>
        <w:rPr>
          <w:color w:val="000000"/>
          <w:szCs w:val="28"/>
          <w:lang w:val="pl-PL"/>
        </w:rPr>
        <w:t xml:space="preserve"> thực hiện các biện phápđảm bảo hợp đồng theo quy định của pháp luật về đấu thầu.</w:t>
      </w:r>
    </w:p>
    <w:p w:rsidR="00E12714" w:rsidRDefault="00E12714" w:rsidP="00E12714">
      <w:pPr>
        <w:shd w:val="clear" w:color="auto" w:fill="FFFFFF"/>
        <w:spacing w:before="60" w:after="60"/>
        <w:ind w:firstLine="709"/>
        <w:jc w:val="both"/>
        <w:rPr>
          <w:color w:val="000000"/>
          <w:szCs w:val="28"/>
          <w:lang w:val="pl-PL"/>
        </w:rPr>
      </w:pPr>
      <w:r w:rsidRPr="00EF13DF">
        <w:rPr>
          <w:color w:val="000000"/>
          <w:szCs w:val="28"/>
          <w:lang w:val="pl-PL"/>
        </w:rPr>
        <w:t xml:space="preserve">- </w:t>
      </w:r>
      <w:r>
        <w:rPr>
          <w:color w:val="000000"/>
          <w:szCs w:val="28"/>
          <w:lang w:val="pl-PL"/>
        </w:rPr>
        <w:t xml:space="preserve">Về năng lực tài chính: </w:t>
      </w:r>
      <w:r w:rsidRPr="00EF13DF">
        <w:rPr>
          <w:color w:val="000000"/>
          <w:szCs w:val="28"/>
          <w:lang w:val="pl-PL"/>
        </w:rPr>
        <w:t>Có vốn thuộc chủ sở hữu để thực hiện dự án không thấp hơn 20% tổng mức đầu tư của dự án;</w:t>
      </w:r>
      <w:r w:rsidRPr="00940BDF">
        <w:rPr>
          <w:color w:val="000000"/>
          <w:szCs w:val="28"/>
          <w:lang w:val="pl-PL"/>
        </w:rPr>
        <w:t>Có ngân hàng hoặc tổ chức tín dụng cam kết cung cấp đủ tài chính cho nhà đầu tư đối với phần nghĩa vụ tài chính còn lại (ngoài vốn chủ sở hữu) thuộc trách nhiệm thu xếp của nhà đầu tư</w:t>
      </w:r>
      <w:r>
        <w:rPr>
          <w:color w:val="000000"/>
          <w:szCs w:val="28"/>
          <w:lang w:val="pl-PL"/>
        </w:rPr>
        <w:t>.</w:t>
      </w:r>
    </w:p>
    <w:p w:rsidR="00E12714" w:rsidRDefault="00E12714" w:rsidP="00E12714">
      <w:pPr>
        <w:shd w:val="clear" w:color="auto" w:fill="FFFFFF"/>
        <w:spacing w:before="60" w:after="60"/>
        <w:ind w:firstLine="709"/>
        <w:jc w:val="both"/>
        <w:rPr>
          <w:color w:val="000000"/>
          <w:szCs w:val="28"/>
          <w:lang w:val="pl-PL"/>
        </w:rPr>
      </w:pPr>
      <w:r>
        <w:rPr>
          <w:color w:val="000000"/>
          <w:szCs w:val="28"/>
          <w:lang w:val="pl-PL"/>
        </w:rPr>
        <w:t>- Về kinh nghiệm của nhà đầu tư: Nhà đầu tư đã tham gia với vai trò là nhà đầu tư hoặc thành viên tham gia liên danh hoặc đối tác cùng thực hiện đã tham gia với vai trò là nhà đầu tư góp vốn chủ sở hữu hoặc nhà thầu chính thực hiệnít nhất</w:t>
      </w:r>
      <w:r w:rsidRPr="003F4E48">
        <w:rPr>
          <w:color w:val="000000"/>
          <w:szCs w:val="28"/>
          <w:lang w:val="pl-PL"/>
        </w:rPr>
        <w:t xml:space="preserve"> 01 dự án Nhà ở xã hội</w:t>
      </w:r>
      <w:r>
        <w:rPr>
          <w:color w:val="000000"/>
          <w:szCs w:val="28"/>
          <w:lang w:val="pl-PL"/>
        </w:rPr>
        <w:t xml:space="preserve"> cóquy mô: Tối thiểu bằng 20% số lượng căn hộ của dự án kêu gọi đầu tư (khoảng 480 căn hộ) và có tổng mức đầu tư tối thiểu bằng 20% tổng mức đầu tư của dự án kêu gọi đầu tư (tương ứng </w:t>
      </w:r>
      <w:r w:rsidRPr="006C1E28">
        <w:rPr>
          <w:color w:val="000000"/>
          <w:szCs w:val="28"/>
          <w:lang w:val="pl-PL"/>
        </w:rPr>
        <w:t>561</w:t>
      </w:r>
      <w:r>
        <w:rPr>
          <w:color w:val="000000"/>
          <w:szCs w:val="28"/>
          <w:lang w:val="pl-PL"/>
        </w:rPr>
        <w:t>.</w:t>
      </w:r>
      <w:r w:rsidRPr="006C1E28">
        <w:rPr>
          <w:color w:val="000000"/>
          <w:szCs w:val="28"/>
          <w:lang w:val="pl-PL"/>
        </w:rPr>
        <w:t>774</w:t>
      </w:r>
      <w:r>
        <w:rPr>
          <w:color w:val="000000"/>
          <w:szCs w:val="28"/>
          <w:lang w:val="pl-PL"/>
        </w:rPr>
        <w:t>.</w:t>
      </w:r>
      <w:r w:rsidRPr="006C1E28">
        <w:rPr>
          <w:color w:val="000000"/>
          <w:szCs w:val="28"/>
          <w:lang w:val="pl-PL"/>
        </w:rPr>
        <w:t>200</w:t>
      </w:r>
      <w:r>
        <w:rPr>
          <w:color w:val="000000"/>
          <w:szCs w:val="28"/>
          <w:lang w:val="pl-PL"/>
        </w:rPr>
        <w:t>.</w:t>
      </w:r>
      <w:r w:rsidRPr="006C1E28">
        <w:rPr>
          <w:color w:val="000000"/>
          <w:szCs w:val="28"/>
          <w:lang w:val="pl-PL"/>
        </w:rPr>
        <w:t xml:space="preserve">000 </w:t>
      </w:r>
      <w:r>
        <w:rPr>
          <w:color w:val="000000"/>
          <w:szCs w:val="28"/>
          <w:lang w:val="pl-PL"/>
        </w:rPr>
        <w:t>đồng); hiện nay,d</w:t>
      </w:r>
      <w:r w:rsidRPr="00C60765">
        <w:rPr>
          <w:color w:val="000000"/>
          <w:szCs w:val="28"/>
          <w:lang w:val="pl-PL"/>
        </w:rPr>
        <w:t>ự án đã hoàn thành giai đoạn xây dựng</w:t>
      </w:r>
      <w:r>
        <w:rPr>
          <w:color w:val="000000"/>
          <w:szCs w:val="28"/>
          <w:lang w:val="pl-PL"/>
        </w:rPr>
        <w:t>.</w:t>
      </w:r>
    </w:p>
    <w:p w:rsidR="00E12714" w:rsidRDefault="00E12714" w:rsidP="00E12714">
      <w:pPr>
        <w:shd w:val="clear" w:color="auto" w:fill="FFFFFF"/>
        <w:spacing w:before="60" w:after="60"/>
        <w:ind w:firstLine="709"/>
        <w:jc w:val="both"/>
        <w:rPr>
          <w:color w:val="000000"/>
          <w:szCs w:val="28"/>
          <w:lang w:val="pl-PL"/>
        </w:rPr>
      </w:pPr>
      <w:r w:rsidRPr="00EF13DF">
        <w:rPr>
          <w:color w:val="000000"/>
          <w:szCs w:val="28"/>
          <w:lang w:val="pl-PL"/>
        </w:rPr>
        <w:t>- Có chức năng kinh doanh bất động sản theo quy định của pháp luật.</w:t>
      </w:r>
    </w:p>
    <w:p w:rsidR="00E12714" w:rsidRPr="00EF13DF" w:rsidRDefault="00E12714" w:rsidP="00E12714">
      <w:pPr>
        <w:shd w:val="clear" w:color="auto" w:fill="FFFFFF"/>
        <w:spacing w:before="60" w:after="60"/>
        <w:ind w:firstLine="709"/>
        <w:jc w:val="both"/>
        <w:rPr>
          <w:color w:val="000000"/>
          <w:szCs w:val="28"/>
          <w:lang w:val="pl-PL"/>
        </w:rPr>
      </w:pPr>
      <w:r w:rsidRPr="00EF13DF">
        <w:rPr>
          <w:color w:val="000000"/>
          <w:szCs w:val="28"/>
          <w:lang w:val="pl-PL"/>
        </w:rPr>
        <w:t>2. Hồ sơ đăng ký làm chủ đầu tư dự án:</w:t>
      </w:r>
    </w:p>
    <w:p w:rsidR="00E12714" w:rsidRPr="00EF13DF" w:rsidRDefault="00E12714" w:rsidP="00E12714">
      <w:pPr>
        <w:shd w:val="clear" w:color="auto" w:fill="FFFFFF"/>
        <w:spacing w:before="60" w:after="60"/>
        <w:ind w:firstLine="709"/>
        <w:jc w:val="both"/>
        <w:rPr>
          <w:color w:val="000000"/>
          <w:szCs w:val="28"/>
          <w:lang w:val="pl-PL"/>
        </w:rPr>
      </w:pPr>
      <w:r w:rsidRPr="00EF13DF">
        <w:rPr>
          <w:color w:val="000000"/>
          <w:szCs w:val="28"/>
          <w:lang w:val="pl-PL"/>
        </w:rPr>
        <w:t>- Văn bản đăng ký làm chủ đầu tư dự án của nhà đầu tư, bao gồm các nội dung: Tên dự án đăng ký; Tên, địa chỉ nhà đầu tư, các đề xuất của nhà đầu tư, dự kiến tiến độ thực hiện dự án;</w:t>
      </w:r>
    </w:p>
    <w:p w:rsidR="00E12714" w:rsidRPr="00EF13DF" w:rsidRDefault="00E12714" w:rsidP="00E12714">
      <w:pPr>
        <w:shd w:val="clear" w:color="auto" w:fill="FFFFFF"/>
        <w:spacing w:before="60" w:after="60"/>
        <w:ind w:firstLine="709"/>
        <w:jc w:val="both"/>
        <w:rPr>
          <w:color w:val="000000"/>
          <w:szCs w:val="28"/>
          <w:lang w:val="pl-PL"/>
        </w:rPr>
      </w:pPr>
      <w:r w:rsidRPr="00EF13DF">
        <w:rPr>
          <w:color w:val="000000"/>
          <w:szCs w:val="28"/>
          <w:lang w:val="pl-PL"/>
        </w:rPr>
        <w:t>- Bản sao có chứng thực hoặc bản sao kèm xuất trình bản chính để đối chiếu Giấy chứng nhận đăng ký doanh nghiệp hoặc Giấy chứng nhận đăng ký đầu tư kèm theo giấy tờ chứng minh có đủ số vốn được hoạt động kinh doanh bất động sản (vốn điều lệ) theo quy định của pháp luật về kinh doanh bất động sản;</w:t>
      </w:r>
    </w:p>
    <w:p w:rsidR="00E12714" w:rsidRDefault="00E12714" w:rsidP="00E12714">
      <w:pPr>
        <w:shd w:val="clear" w:color="auto" w:fill="FFFFFF"/>
        <w:spacing w:before="60" w:after="60"/>
        <w:ind w:firstLine="709"/>
        <w:jc w:val="both"/>
        <w:rPr>
          <w:color w:val="000000"/>
          <w:szCs w:val="28"/>
          <w:lang w:val="pl-PL"/>
        </w:rPr>
      </w:pPr>
      <w:r w:rsidRPr="00EF13DF">
        <w:rPr>
          <w:color w:val="000000"/>
          <w:szCs w:val="28"/>
          <w:lang w:val="pl-PL"/>
        </w:rPr>
        <w:t>- Văn bản chứng minh có vốn thuộc sở hữu của mình để thực hiện dự án theo quy định của pháp luật về đầu tư, về đất đai. Trường hợp chưa có văn bản chứng minh có vốn thuộc sở hữu của mình theo quy định của pháp luật về đầu tư, về đất đai thì phải có văn bản xác nhận của tổ chức kiểm toán độc lập hoặc báo cáo tài chính đã được kiểm toán về mức vốn chủ sở hữu của doanh nghiệp tại thời điểm gần nhất đối với doanh nghiệp đang hoạt động; đối với doanh nghiệp mới thành lập thì nếu số vốn là tiền Việt Nam hoặc ngoại tệ thì phải được ngân hàng thương mại nơi doanh nghiệp đó mở tài khoản xác nhận về số dư tiền gửi của doanh nghiệp, nếu số vốn là tài sản thì phải có chứng thư của tổ chức có chức năng định giá hoặc thẩm định giá đang hoạt động tại Việt Nam về kết quả định giá, thẩm định giá tài sản của doanh nghiệp.</w:t>
      </w:r>
    </w:p>
    <w:p w:rsidR="00E12714" w:rsidRDefault="00E12714" w:rsidP="00E12714">
      <w:pPr>
        <w:shd w:val="clear" w:color="auto" w:fill="FFFFFF"/>
        <w:spacing w:before="60" w:after="60"/>
        <w:ind w:firstLine="709"/>
        <w:jc w:val="both"/>
        <w:rPr>
          <w:color w:val="000000"/>
          <w:szCs w:val="28"/>
          <w:lang w:val="pl-PL"/>
        </w:rPr>
      </w:pPr>
      <w:r>
        <w:rPr>
          <w:color w:val="000000"/>
          <w:szCs w:val="28"/>
          <w:lang w:val="pl-PL"/>
        </w:rPr>
        <w:t>- P</w:t>
      </w:r>
      <w:r w:rsidRPr="00A84D2F">
        <w:rPr>
          <w:color w:val="000000"/>
          <w:szCs w:val="28"/>
          <w:lang w:val="pl-PL"/>
        </w:rPr>
        <w:t>hương pháp triển khai thực hiện dự án sơ bộ:Nhà đầu tư chuẩn bị phương pháp triển khai thực hiện dự án sơ bộ gồm các phần:</w:t>
      </w:r>
    </w:p>
    <w:p w:rsidR="00E12714" w:rsidRPr="00A84D2F" w:rsidRDefault="00E12714" w:rsidP="00E12714">
      <w:pPr>
        <w:shd w:val="clear" w:color="auto" w:fill="FFFFFF"/>
        <w:spacing w:before="60" w:after="60"/>
        <w:ind w:firstLine="709"/>
        <w:jc w:val="both"/>
        <w:rPr>
          <w:color w:val="000000"/>
          <w:szCs w:val="28"/>
          <w:lang w:val="pl-PL"/>
        </w:rPr>
      </w:pPr>
      <w:r w:rsidRPr="00A84D2F">
        <w:rPr>
          <w:color w:val="000000"/>
          <w:szCs w:val="28"/>
          <w:lang w:val="pl-PL"/>
        </w:rPr>
        <w:tab/>
        <w:t xml:space="preserve">+ Cách tiếp cận và phương pháp luận </w:t>
      </w:r>
    </w:p>
    <w:p w:rsidR="00E12714" w:rsidRPr="00A84D2F" w:rsidRDefault="00E12714" w:rsidP="00E12714">
      <w:pPr>
        <w:shd w:val="clear" w:color="auto" w:fill="FFFFFF"/>
        <w:spacing w:before="60" w:after="60"/>
        <w:ind w:firstLine="709"/>
        <w:jc w:val="both"/>
        <w:rPr>
          <w:color w:val="000000"/>
          <w:szCs w:val="28"/>
          <w:lang w:val="pl-PL"/>
        </w:rPr>
      </w:pPr>
      <w:r w:rsidRPr="00A84D2F">
        <w:rPr>
          <w:color w:val="000000"/>
          <w:szCs w:val="28"/>
          <w:lang w:val="pl-PL"/>
        </w:rPr>
        <w:tab/>
        <w:t>+ Đề xuất sơ bộ cách thức triển khai dự án.</w:t>
      </w:r>
    </w:p>
    <w:p w:rsidR="00E12714" w:rsidRPr="00A84D2F" w:rsidRDefault="00E12714" w:rsidP="00E12714">
      <w:pPr>
        <w:shd w:val="clear" w:color="auto" w:fill="FFFFFF"/>
        <w:spacing w:before="60" w:after="60"/>
        <w:ind w:firstLine="709"/>
        <w:jc w:val="both"/>
        <w:rPr>
          <w:color w:val="000000"/>
          <w:szCs w:val="28"/>
          <w:lang w:val="pl-PL"/>
        </w:rPr>
      </w:pPr>
      <w:r w:rsidRPr="00A84D2F">
        <w:rPr>
          <w:color w:val="000000"/>
          <w:szCs w:val="28"/>
          <w:lang w:val="pl-PL"/>
        </w:rPr>
        <w:lastRenderedPageBreak/>
        <w:t>+ Bản cam kết thực hiện dự án (bao gồm các nội dung chính: Cam</w:t>
      </w:r>
      <w:r>
        <w:rPr>
          <w:color w:val="000000"/>
          <w:szCs w:val="28"/>
          <w:lang w:val="pl-PL"/>
        </w:rPr>
        <w:t xml:space="preserve"> kết về sử dụng vốn chủ sở hữu; cam kết </w:t>
      </w:r>
      <w:r w:rsidRPr="00A84D2F">
        <w:rPr>
          <w:color w:val="000000"/>
          <w:szCs w:val="28"/>
          <w:lang w:val="pl-PL"/>
        </w:rPr>
        <w:t>tuân thủ</w:t>
      </w:r>
      <w:r>
        <w:rPr>
          <w:color w:val="000000"/>
          <w:szCs w:val="28"/>
          <w:lang w:val="pl-PL"/>
        </w:rPr>
        <w:t xml:space="preserve"> quy hoạch chi tiết được phê duyệt, không đề xuất điều chỉnh quy hoạch làm tăng quỹ đất xây dựng công trình kinh doanh thương mại, làm giảm diện tích cây xanh của dự án;cam kết về </w:t>
      </w:r>
      <w:r w:rsidRPr="00A84D2F">
        <w:rPr>
          <w:color w:val="000000"/>
          <w:szCs w:val="28"/>
          <w:lang w:val="pl-PL"/>
        </w:rPr>
        <w:t>tiến độ, chất lượng đầu tư xây dựng</w:t>
      </w:r>
      <w:r>
        <w:rPr>
          <w:color w:val="000000"/>
          <w:szCs w:val="28"/>
          <w:lang w:val="pl-PL"/>
        </w:rPr>
        <w:t xml:space="preserve"> tuân thủ theo</w:t>
      </w:r>
      <w:r w:rsidRPr="00A84D2F">
        <w:rPr>
          <w:color w:val="000000"/>
          <w:szCs w:val="28"/>
          <w:lang w:val="pl-PL"/>
        </w:rPr>
        <w:t xml:space="preserve"> quy định của pháp luật có liên quan trong quá trình thực hiện dự án</w:t>
      </w:r>
      <w:r>
        <w:rPr>
          <w:color w:val="000000"/>
          <w:szCs w:val="28"/>
          <w:lang w:val="pl-PL"/>
        </w:rPr>
        <w:t>)</w:t>
      </w:r>
      <w:r w:rsidRPr="00A84D2F">
        <w:rPr>
          <w:color w:val="000000"/>
          <w:szCs w:val="28"/>
          <w:lang w:val="pl-PL"/>
        </w:rPr>
        <w:t>.</w:t>
      </w:r>
    </w:p>
    <w:p w:rsidR="00E12714" w:rsidRPr="00EF13DF" w:rsidRDefault="00E12714" w:rsidP="00E12714">
      <w:pPr>
        <w:shd w:val="clear" w:color="auto" w:fill="FFFFFF"/>
        <w:spacing w:before="60" w:after="60"/>
        <w:ind w:firstLine="709"/>
        <w:jc w:val="both"/>
        <w:rPr>
          <w:color w:val="000000"/>
          <w:szCs w:val="28"/>
          <w:lang w:val="pl-PL"/>
        </w:rPr>
      </w:pPr>
      <w:r w:rsidRPr="00A84D2F">
        <w:rPr>
          <w:color w:val="000000"/>
          <w:szCs w:val="28"/>
          <w:lang w:val="pl-PL"/>
        </w:rPr>
        <w:t>4. Thời gian, địa điểm tiếp nhận hồ sơ đăng ký:</w:t>
      </w:r>
    </w:p>
    <w:p w:rsidR="00E12714" w:rsidRPr="00AB3714" w:rsidRDefault="00E12714" w:rsidP="00E12714">
      <w:pPr>
        <w:shd w:val="clear" w:color="auto" w:fill="FFFFFF"/>
        <w:spacing w:before="60" w:after="60"/>
        <w:ind w:firstLine="709"/>
        <w:jc w:val="both"/>
        <w:rPr>
          <w:color w:val="000000"/>
          <w:spacing w:val="-2"/>
          <w:szCs w:val="28"/>
          <w:lang w:val="pl-PL"/>
        </w:rPr>
      </w:pPr>
      <w:r w:rsidRPr="00AB3714">
        <w:rPr>
          <w:color w:val="000000"/>
          <w:spacing w:val="-2"/>
          <w:szCs w:val="28"/>
          <w:lang w:val="pl-PL"/>
        </w:rPr>
        <w:t xml:space="preserve">- Thời gian: </w:t>
      </w:r>
      <w:r w:rsidRPr="00466845">
        <w:rPr>
          <w:color w:val="000000"/>
          <w:spacing w:val="-2"/>
          <w:szCs w:val="28"/>
          <w:lang w:val="pl-PL"/>
        </w:rPr>
        <w:t xml:space="preserve">Trong </w:t>
      </w:r>
      <w:r>
        <w:rPr>
          <w:color w:val="000000"/>
          <w:spacing w:val="-2"/>
          <w:szCs w:val="28"/>
          <w:lang w:val="pl-PL"/>
        </w:rPr>
        <w:t xml:space="preserve">giờ hành chính </w:t>
      </w:r>
      <w:r w:rsidRPr="00466845">
        <w:rPr>
          <w:color w:val="000000"/>
          <w:spacing w:val="-2"/>
          <w:szCs w:val="28"/>
          <w:lang w:val="pl-PL"/>
        </w:rPr>
        <w:t>kể từ ngày</w:t>
      </w:r>
      <w:r>
        <w:rPr>
          <w:color w:val="000000"/>
          <w:spacing w:val="-2"/>
          <w:szCs w:val="28"/>
          <w:lang w:val="pl-PL"/>
        </w:rPr>
        <w:t xml:space="preserve"> 21/8/2020 đến ngày 21/9/2020</w:t>
      </w:r>
      <w:r w:rsidRPr="00AB3714">
        <w:rPr>
          <w:color w:val="000000"/>
          <w:spacing w:val="-2"/>
          <w:szCs w:val="28"/>
          <w:lang w:val="pl-PL"/>
        </w:rPr>
        <w:t xml:space="preserve">, Sở Xây dựng sẽ tiếp nhận hồ sơ đăng ký tham gia làm chủ đầu tư dự án. Sau thời hạn </w:t>
      </w:r>
      <w:r>
        <w:rPr>
          <w:color w:val="000000"/>
          <w:spacing w:val="-2"/>
          <w:szCs w:val="28"/>
          <w:lang w:val="pl-PL"/>
        </w:rPr>
        <w:t>nêu</w:t>
      </w:r>
      <w:r w:rsidRPr="00AB3714">
        <w:rPr>
          <w:color w:val="000000"/>
          <w:spacing w:val="-2"/>
          <w:szCs w:val="28"/>
          <w:lang w:val="pl-PL"/>
        </w:rPr>
        <w:t xml:space="preserve"> trên, Sở Xây dựng ngừng tiếp nhận hồ sơ đăng ký, kể cả </w:t>
      </w:r>
      <w:r>
        <w:rPr>
          <w:color w:val="000000"/>
          <w:spacing w:val="-2"/>
          <w:szCs w:val="28"/>
          <w:lang w:val="pl-PL"/>
        </w:rPr>
        <w:t>hồ sơ</w:t>
      </w:r>
      <w:r w:rsidRPr="00AB3714">
        <w:rPr>
          <w:color w:val="000000"/>
          <w:spacing w:val="-2"/>
          <w:szCs w:val="28"/>
          <w:lang w:val="pl-PL"/>
        </w:rPr>
        <w:t xml:space="preserve"> đăng ký gửi theo đường bưu điện (không tính theo dấu bưu điện).</w:t>
      </w:r>
    </w:p>
    <w:p w:rsidR="00E12714" w:rsidRPr="00B014D9" w:rsidRDefault="00E12714" w:rsidP="00E12714">
      <w:pPr>
        <w:shd w:val="clear" w:color="auto" w:fill="FFFFFF"/>
        <w:spacing w:before="60" w:after="60"/>
        <w:ind w:firstLine="709"/>
        <w:jc w:val="both"/>
        <w:rPr>
          <w:color w:val="000000"/>
          <w:szCs w:val="28"/>
          <w:lang w:val="pl-PL"/>
        </w:rPr>
      </w:pPr>
      <w:r w:rsidRPr="00EF13DF">
        <w:rPr>
          <w:color w:val="000000"/>
          <w:szCs w:val="28"/>
          <w:lang w:val="pl-PL"/>
        </w:rPr>
        <w:t>- Địa điểm tiếp nhận hồ sơ đăng ký: Sở Xây dựng Thanh Hóa, số 36 Đại lộ Lê Lợi, phường Điện Biên, thành phố Thanh Hóa.</w:t>
      </w:r>
    </w:p>
    <w:p w:rsidR="004057F8" w:rsidRPr="00B767EC" w:rsidRDefault="004057F8">
      <w:pPr>
        <w:rPr>
          <w:lang w:val="pl-PL"/>
        </w:rPr>
      </w:pPr>
      <w:bookmarkStart w:id="0" w:name="_GoBack"/>
      <w:bookmarkEnd w:id="0"/>
    </w:p>
    <w:sectPr w:rsidR="004057F8" w:rsidRPr="00B767EC" w:rsidSect="00E372E1">
      <w:footerReference w:type="even" r:id="rId6"/>
      <w:pgSz w:w="11907" w:h="16840" w:code="9"/>
      <w:pgMar w:top="851" w:right="851" w:bottom="851" w:left="1701" w:header="680" w:footer="68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886" w:rsidRDefault="00C10886" w:rsidP="00245B25">
      <w:r>
        <w:separator/>
      </w:r>
    </w:p>
  </w:endnote>
  <w:endnote w:type="continuationSeparator" w:id="1">
    <w:p w:rsidR="00C10886" w:rsidRDefault="00C10886" w:rsidP="00245B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D6" w:rsidRDefault="00245B25" w:rsidP="005530F8">
    <w:pPr>
      <w:pStyle w:val="Footer"/>
      <w:framePr w:wrap="around" w:vAnchor="text" w:hAnchor="margin" w:xAlign="right" w:y="1"/>
      <w:rPr>
        <w:rStyle w:val="PageNumber"/>
      </w:rPr>
    </w:pPr>
    <w:r>
      <w:rPr>
        <w:rStyle w:val="PageNumber"/>
      </w:rPr>
      <w:fldChar w:fldCharType="begin"/>
    </w:r>
    <w:r w:rsidR="00E12714">
      <w:rPr>
        <w:rStyle w:val="PageNumber"/>
      </w:rPr>
      <w:instrText xml:space="preserve">PAGE  </w:instrText>
    </w:r>
    <w:r>
      <w:rPr>
        <w:rStyle w:val="PageNumber"/>
      </w:rPr>
      <w:fldChar w:fldCharType="end"/>
    </w:r>
  </w:p>
  <w:p w:rsidR="00117ED6" w:rsidRDefault="00C10886" w:rsidP="00F305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886" w:rsidRDefault="00C10886" w:rsidP="00245B25">
      <w:r>
        <w:separator/>
      </w:r>
    </w:p>
  </w:footnote>
  <w:footnote w:type="continuationSeparator" w:id="1">
    <w:p w:rsidR="00C10886" w:rsidRDefault="00C10886" w:rsidP="00245B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2714"/>
    <w:rsid w:val="00245B25"/>
    <w:rsid w:val="004057F8"/>
    <w:rsid w:val="00A00ABA"/>
    <w:rsid w:val="00B767EC"/>
    <w:rsid w:val="00C10886"/>
    <w:rsid w:val="00E127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1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2714"/>
    <w:pPr>
      <w:tabs>
        <w:tab w:val="center" w:pos="4320"/>
        <w:tab w:val="right" w:pos="8640"/>
      </w:tabs>
    </w:pPr>
    <w:rPr>
      <w:lang/>
    </w:rPr>
  </w:style>
  <w:style w:type="character" w:customStyle="1" w:styleId="FooterChar">
    <w:name w:val="Footer Char"/>
    <w:basedOn w:val="DefaultParagraphFont"/>
    <w:link w:val="Footer"/>
    <w:uiPriority w:val="99"/>
    <w:rsid w:val="00E12714"/>
    <w:rPr>
      <w:rFonts w:ascii="Times New Roman" w:eastAsia="Times New Roman" w:hAnsi="Times New Roman" w:cs="Times New Roman"/>
      <w:sz w:val="28"/>
      <w:szCs w:val="24"/>
      <w:lang/>
    </w:rPr>
  </w:style>
  <w:style w:type="character" w:styleId="PageNumber">
    <w:name w:val="page number"/>
    <w:basedOn w:val="DefaultParagraphFont"/>
    <w:rsid w:val="00E1271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7000</Characters>
  <Application>Microsoft Office Word</Application>
  <DocSecurity>0</DocSecurity>
  <Lines>58</Lines>
  <Paragraphs>16</Paragraphs>
  <ScaleCrop>false</ScaleCrop>
  <Company>Microsoft</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Dungbeoo</dc:creator>
  <cp:lastModifiedBy>A</cp:lastModifiedBy>
  <cp:revision>2</cp:revision>
  <dcterms:created xsi:type="dcterms:W3CDTF">2020-08-21T06:51:00Z</dcterms:created>
  <dcterms:modified xsi:type="dcterms:W3CDTF">2020-08-21T06:51:00Z</dcterms:modified>
</cp:coreProperties>
</file>